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16503">
      <w:pPr>
        <w:pStyle w:val="3"/>
        <w:keepNext w:val="0"/>
        <w:keepLines w:val="0"/>
        <w:pageBreakBefore w:val="0"/>
        <w:widowControl w:val="0"/>
        <w:suppressAutoHyphens/>
        <w:kinsoku/>
        <w:wordWrap/>
        <w:overflowPunct/>
        <w:topLinePunct w:val="0"/>
        <w:autoSpaceDE/>
        <w:autoSpaceDN/>
        <w:bidi w:val="0"/>
        <w:adjustRightInd/>
        <w:snapToGrid/>
        <w:spacing w:before="0" w:after="0" w:line="560" w:lineRule="exact"/>
        <w:ind w:left="0" w:right="0" w:firstLine="0"/>
        <w:jc w:val="both"/>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黑体" w:cs="Times New Roman"/>
          <w:color w:val="auto"/>
          <w:kern w:val="2"/>
          <w:sz w:val="32"/>
          <w:szCs w:val="32"/>
          <w:lang w:val="en-US" w:eastAsia="zh-CN" w:bidi="ar-SA"/>
        </w:rPr>
        <w:t>附件</w:t>
      </w:r>
    </w:p>
    <w:tbl>
      <w:tblPr>
        <w:tblStyle w:val="12"/>
        <w:tblW w:w="13813" w:type="dxa"/>
        <w:jc w:val="center"/>
        <w:tblLayout w:type="autofit"/>
        <w:tblCellMar>
          <w:top w:w="0" w:type="dxa"/>
          <w:left w:w="108" w:type="dxa"/>
          <w:bottom w:w="0" w:type="dxa"/>
          <w:right w:w="108" w:type="dxa"/>
        </w:tblCellMar>
      </w:tblPr>
      <w:tblGrid>
        <w:gridCol w:w="865"/>
        <w:gridCol w:w="1702"/>
        <w:gridCol w:w="7668"/>
        <w:gridCol w:w="2613"/>
        <w:gridCol w:w="742"/>
        <w:gridCol w:w="223"/>
      </w:tblGrid>
      <w:tr w14:paraId="775F9247">
        <w:tblPrEx>
          <w:tblCellMar>
            <w:top w:w="0" w:type="dxa"/>
            <w:left w:w="108" w:type="dxa"/>
            <w:bottom w:w="0" w:type="dxa"/>
            <w:right w:w="108" w:type="dxa"/>
          </w:tblCellMar>
        </w:tblPrEx>
        <w:trPr>
          <w:gridAfter w:val="1"/>
          <w:wAfter w:w="223" w:type="dxa"/>
          <w:trHeight w:val="450" w:hRule="atLeast"/>
          <w:jc w:val="center"/>
        </w:trPr>
        <w:tc>
          <w:tcPr>
            <w:tcW w:w="13590" w:type="dxa"/>
            <w:gridSpan w:val="5"/>
            <w:tcBorders>
              <w:top w:val="nil"/>
              <w:left w:val="nil"/>
              <w:bottom w:val="single" w:color="000000" w:sz="4" w:space="0"/>
              <w:right w:val="nil"/>
            </w:tcBorders>
            <w:noWrap w:val="0"/>
            <w:vAlign w:val="top"/>
          </w:tcPr>
          <w:p w14:paraId="7D67D4D5">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right="0" w:firstLine="0"/>
              <w:jc w:val="center"/>
              <w:textAlignment w:val="center"/>
              <w:rPr>
                <w:rFonts w:hint="default" w:ascii="Times New Roman" w:hAnsi="Times New Roman" w:eastAsia="方正小标宋简体" w:cs="Times New Roman"/>
                <w:b w:val="0"/>
                <w:bCs w:val="0"/>
                <w:color w:val="auto"/>
                <w:sz w:val="44"/>
                <w:szCs w:val="44"/>
                <w:u w:val="none"/>
                <w:lang w:bidi="ar-SA"/>
              </w:rPr>
            </w:pPr>
            <w:r>
              <w:rPr>
                <w:rFonts w:hint="default" w:ascii="Times New Roman" w:hAnsi="Times New Roman" w:eastAsia="方正小标宋简体" w:cs="Times New Roman"/>
                <w:b w:val="0"/>
                <w:bCs w:val="0"/>
                <w:color w:val="auto"/>
                <w:kern w:val="0"/>
                <w:sz w:val="44"/>
                <w:szCs w:val="44"/>
                <w:u w:val="none"/>
                <w:lang w:val="en-US" w:eastAsia="zh-CN" w:bidi="ar"/>
              </w:rPr>
              <w:t>2024年工作要点清单</w:t>
            </w:r>
          </w:p>
        </w:tc>
      </w:tr>
      <w:tr w14:paraId="2981D8D2">
        <w:tblPrEx>
          <w:tblCellMar>
            <w:top w:w="0" w:type="dxa"/>
            <w:left w:w="108" w:type="dxa"/>
            <w:bottom w:w="0" w:type="dxa"/>
            <w:right w:w="108" w:type="dxa"/>
          </w:tblCellMar>
        </w:tblPrEx>
        <w:trPr>
          <w:trHeight w:val="673"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84EB3AC">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right="0" w:firstLine="0"/>
              <w:jc w:val="center"/>
              <w:textAlignment w:val="center"/>
              <w:rPr>
                <w:rFonts w:hint="default" w:ascii="Times New Roman" w:hAnsi="Times New Roman" w:eastAsia="楷体_GB2312" w:cs="Times New Roman"/>
                <w:b/>
                <w:bCs/>
                <w:color w:val="auto"/>
                <w:sz w:val="32"/>
                <w:szCs w:val="32"/>
                <w:u w:val="none"/>
                <w:lang w:bidi="ar-SA"/>
              </w:rPr>
            </w:pPr>
            <w:r>
              <w:rPr>
                <w:rFonts w:hint="default" w:ascii="Times New Roman" w:hAnsi="Times New Roman" w:eastAsia="楷体_GB2312" w:cs="Times New Roman"/>
                <w:b/>
                <w:bCs/>
                <w:color w:val="auto"/>
                <w:kern w:val="0"/>
                <w:sz w:val="32"/>
                <w:szCs w:val="32"/>
                <w:u w:val="none"/>
                <w:lang w:val="en-US" w:eastAsia="zh-CN" w:bidi="ar"/>
              </w:rPr>
              <w:t>序号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DA9CD4E">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right="0" w:firstLine="0"/>
              <w:jc w:val="center"/>
              <w:textAlignment w:val="center"/>
              <w:rPr>
                <w:rFonts w:hint="default" w:ascii="Times New Roman" w:hAnsi="Times New Roman" w:eastAsia="楷体_GB2312" w:cs="Times New Roman"/>
                <w:b/>
                <w:bCs/>
                <w:color w:val="auto"/>
                <w:sz w:val="32"/>
                <w:szCs w:val="32"/>
                <w:u w:val="none"/>
                <w:lang w:bidi="ar-SA"/>
              </w:rPr>
            </w:pPr>
            <w:r>
              <w:rPr>
                <w:rFonts w:hint="default" w:ascii="Times New Roman" w:hAnsi="Times New Roman" w:eastAsia="楷体_GB2312" w:cs="Times New Roman"/>
                <w:b/>
                <w:bCs/>
                <w:color w:val="auto"/>
                <w:kern w:val="0"/>
                <w:sz w:val="32"/>
                <w:szCs w:val="32"/>
                <w:u w:val="none"/>
                <w:lang w:val="en-US" w:eastAsia="zh-CN" w:bidi="ar"/>
              </w:rPr>
              <w:t>工作事项</w:t>
            </w:r>
          </w:p>
        </w:tc>
        <w:tc>
          <w:tcPr>
            <w:tcW w:w="7668" w:type="dxa"/>
            <w:tcBorders>
              <w:top w:val="single" w:color="000000" w:sz="4" w:space="0"/>
              <w:left w:val="single" w:color="000000" w:sz="4" w:space="0"/>
              <w:bottom w:val="single" w:color="000000" w:sz="4" w:space="0"/>
              <w:right w:val="single" w:color="000000" w:sz="4" w:space="0"/>
            </w:tcBorders>
            <w:noWrap w:val="0"/>
            <w:vAlign w:val="center"/>
          </w:tcPr>
          <w:p w14:paraId="25385EF7">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right="0" w:firstLine="0"/>
              <w:jc w:val="center"/>
              <w:textAlignment w:val="center"/>
              <w:rPr>
                <w:rFonts w:hint="default" w:ascii="Times New Roman" w:hAnsi="Times New Roman" w:eastAsia="楷体_GB2312" w:cs="Times New Roman"/>
                <w:b/>
                <w:bCs/>
                <w:color w:val="auto"/>
                <w:sz w:val="32"/>
                <w:szCs w:val="32"/>
                <w:u w:val="none"/>
                <w:lang w:bidi="ar-SA"/>
              </w:rPr>
            </w:pPr>
            <w:r>
              <w:rPr>
                <w:rFonts w:hint="default" w:ascii="Times New Roman" w:hAnsi="Times New Roman" w:eastAsia="楷体_GB2312" w:cs="Times New Roman"/>
                <w:b/>
                <w:bCs/>
                <w:color w:val="auto"/>
                <w:kern w:val="0"/>
                <w:sz w:val="32"/>
                <w:szCs w:val="32"/>
                <w:u w:val="none"/>
                <w:lang w:val="en-US" w:eastAsia="zh-CN" w:bidi="ar"/>
              </w:rPr>
              <w:t>具体任务</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1DBA94A">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right="0" w:firstLine="0"/>
              <w:jc w:val="center"/>
              <w:textAlignment w:val="center"/>
              <w:rPr>
                <w:rFonts w:hint="default" w:ascii="Times New Roman" w:hAnsi="Times New Roman" w:eastAsia="楷体_GB2312" w:cs="Times New Roman"/>
                <w:b/>
                <w:bCs/>
                <w:color w:val="auto"/>
                <w:sz w:val="32"/>
                <w:szCs w:val="32"/>
                <w:u w:val="none"/>
                <w:lang w:bidi="ar-SA"/>
              </w:rPr>
            </w:pPr>
            <w:r>
              <w:rPr>
                <w:rFonts w:hint="default" w:ascii="Times New Roman" w:hAnsi="Times New Roman" w:eastAsia="楷体_GB2312" w:cs="Times New Roman"/>
                <w:b/>
                <w:bCs/>
                <w:color w:val="auto"/>
                <w:kern w:val="0"/>
                <w:sz w:val="32"/>
                <w:szCs w:val="32"/>
                <w:u w:val="none"/>
                <w:lang w:val="en-US" w:eastAsia="zh-CN" w:bidi="ar"/>
              </w:rPr>
              <w:t>责任单位</w:t>
            </w:r>
          </w:p>
        </w:tc>
        <w:tc>
          <w:tcPr>
            <w:tcW w:w="965" w:type="dxa"/>
            <w:gridSpan w:val="2"/>
            <w:tcBorders>
              <w:top w:val="single" w:color="000000" w:sz="4" w:space="0"/>
              <w:left w:val="single" w:color="000000" w:sz="4" w:space="0"/>
              <w:bottom w:val="single" w:color="000000" w:sz="4" w:space="0"/>
              <w:right w:val="single" w:color="000000" w:sz="4" w:space="0"/>
            </w:tcBorders>
            <w:noWrap w:val="0"/>
            <w:vAlign w:val="center"/>
          </w:tcPr>
          <w:p w14:paraId="7AA8C8EE">
            <w:pPr>
              <w:keepNext w:val="0"/>
              <w:keepLines w:val="0"/>
              <w:pageBreakBefore w:val="0"/>
              <w:widowControl/>
              <w:suppressLineNumbers w:val="0"/>
              <w:suppressAutoHyphens/>
              <w:kinsoku/>
              <w:wordWrap/>
              <w:overflowPunct/>
              <w:topLinePunct w:val="0"/>
              <w:autoSpaceDE/>
              <w:autoSpaceDN/>
              <w:bidi w:val="0"/>
              <w:adjustRightInd/>
              <w:snapToGrid/>
              <w:spacing w:line="560" w:lineRule="exact"/>
              <w:ind w:right="0" w:firstLine="0"/>
              <w:jc w:val="center"/>
              <w:textAlignment w:val="center"/>
              <w:rPr>
                <w:rFonts w:hint="default" w:ascii="Times New Roman" w:hAnsi="Times New Roman" w:eastAsia="楷体_GB2312" w:cs="Times New Roman"/>
                <w:b/>
                <w:bCs/>
                <w:color w:val="auto"/>
                <w:sz w:val="32"/>
                <w:szCs w:val="32"/>
                <w:u w:val="none"/>
                <w:lang w:bidi="ar-SA"/>
              </w:rPr>
            </w:pPr>
            <w:r>
              <w:rPr>
                <w:rFonts w:hint="default" w:ascii="Times New Roman" w:hAnsi="Times New Roman" w:eastAsia="楷体_GB2312" w:cs="Times New Roman"/>
                <w:b/>
                <w:bCs/>
                <w:color w:val="auto"/>
                <w:kern w:val="0"/>
                <w:sz w:val="32"/>
                <w:szCs w:val="32"/>
                <w:u w:val="none"/>
                <w:lang w:val="en-US" w:eastAsia="zh-CN" w:bidi="ar"/>
              </w:rPr>
              <w:t>备注</w:t>
            </w:r>
          </w:p>
        </w:tc>
      </w:tr>
      <w:tr w14:paraId="7AB79BC8">
        <w:tblPrEx>
          <w:tblCellMar>
            <w:top w:w="0" w:type="dxa"/>
            <w:left w:w="108" w:type="dxa"/>
            <w:bottom w:w="0" w:type="dxa"/>
            <w:right w:w="108" w:type="dxa"/>
          </w:tblCellMar>
        </w:tblPrEx>
        <w:trPr>
          <w:trHeight w:val="1995"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68AE7DC5">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69C2369">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贯彻决策部署</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1A503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学习贯彻习近平总书记关于森林草原防灭火工作的重要指示批示精神，认真落实党中央、国务院、省委省政府、市委市政府和县委县政府有关森林防灭火工作的决策部署。认真抓好中共中央办公厅、国务院办公厅《关于全面加强新形势下森林草原防灭火工作的意见》、四川省森林草原防灭火指挥部《关于全面加强新形势下森林草原防灭火工作的若干措施》、巴中市森林防灭火指挥部《关于全面加强新形势下森林防灭火工作的若干措施》的宣传和贯彻落实，准确把握新形势下森林防灭火工作的新任务、新要求，增强做好森林防灭火工作的责任感、使命感和紧迫感。</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9E2E8DA">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3FB27565">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6878FACC">
        <w:tblPrEx>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5D74860">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2</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2CFBB1E">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健全责任体系</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7A289E36">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spacing w:val="-6"/>
                <w:kern w:val="0"/>
                <w:sz w:val="28"/>
                <w:szCs w:val="28"/>
                <w:u w:val="none"/>
                <w:lang w:val="en-US" w:eastAsia="zh-CN" w:bidi="ar"/>
              </w:rPr>
              <w:t>严格执行《平昌县党政领导干部森林防灭火工作责任制规定（试行）》，压实地方属地领导责任、行业部门管理责任、经营单位（个人）主体责任。坚持和完善森</w:t>
            </w:r>
            <w:bookmarkStart w:id="0" w:name="_GoBack"/>
            <w:bookmarkEnd w:id="0"/>
            <w:r>
              <w:rPr>
                <w:rFonts w:hint="default" w:ascii="Times New Roman" w:hAnsi="Times New Roman" w:eastAsia="仿宋_GB2312" w:cs="Times New Roman"/>
                <w:color w:val="auto"/>
                <w:spacing w:val="-6"/>
                <w:kern w:val="0"/>
                <w:sz w:val="28"/>
                <w:szCs w:val="28"/>
                <w:u w:val="none"/>
                <w:lang w:val="en-US" w:eastAsia="zh-CN" w:bidi="ar"/>
              </w:rPr>
              <w:t>林防灭火末端发力终端见效工作长效机制，用好</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三张清单</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和</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一项承诺书</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制度，压实县、镇（街道）、村（社区）和护林员四级</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一对一</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包干责任，将工作责任和任务压实到最小工作单元。充分借鉴高火险地区经验做法，全面推行</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十户联保</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，拧紧</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防</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救</w:t>
            </w:r>
            <w:r>
              <w:rPr>
                <w:rFonts w:hint="eastAsia" w:ascii="Times New Roman" w:hAnsi="Times New Roman" w:eastAsia="仿宋_GB2312" w:cs="Times New Roman"/>
                <w:color w:val="auto"/>
                <w:spacing w:val="-6"/>
                <w:kern w:val="0"/>
                <w:sz w:val="28"/>
                <w:szCs w:val="28"/>
                <w:u w:val="none"/>
                <w:lang w:val="en-US" w:eastAsia="zh-CN" w:bidi="ar"/>
              </w:rPr>
              <w:t>”</w:t>
            </w:r>
            <w:r>
              <w:rPr>
                <w:rFonts w:hint="default" w:ascii="Times New Roman" w:hAnsi="Times New Roman" w:eastAsia="仿宋_GB2312" w:cs="Times New Roman"/>
                <w:color w:val="auto"/>
                <w:spacing w:val="-6"/>
                <w:kern w:val="0"/>
                <w:sz w:val="28"/>
                <w:szCs w:val="28"/>
                <w:u w:val="none"/>
                <w:lang w:val="en-US" w:eastAsia="zh-CN" w:bidi="ar"/>
              </w:rPr>
              <w:t>两条责任链。</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56F8D999">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3B599B61">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328C5D8F">
        <w:tblPrEx>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2D2F584B">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3</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B087B16">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加强督查检查</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111B5B7B">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充分发挥森林防灭火党政同责考核</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指挥棒</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作用，进一步完善考评细则，加强对各地各部门履行森林防灭火工作职责的实地督导，推进工作重心向</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预为主</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转变。县乡村各级负责包干领导干部、森防指包镇联系督导成员单位要严格落实末端发力终端见效机制，认真对照三张清单，按要求到责任区域开展蹲点督导，一旦火情，第一时间赶到现场。同时，督促信息报送按规定及时上报，严禁迟报、瞒报，各级森防指办要采取</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四不两直</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方式加大明察暗访力度，用好</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两书一函</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等手段，督促责任落地落实。</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C5C9349">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各镇（街道、管委会、管理局），平昌经济开发区；县目标绩效办，县森防指包镇联系督导单位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4CE000B4">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563289FB">
        <w:tblPrEx>
          <w:tblCellMar>
            <w:top w:w="0" w:type="dxa"/>
            <w:left w:w="108" w:type="dxa"/>
            <w:bottom w:w="0" w:type="dxa"/>
            <w:right w:w="108" w:type="dxa"/>
          </w:tblCellMar>
        </w:tblPrEx>
        <w:trPr>
          <w:trHeight w:val="171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07B18017">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4</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44BC1B2">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做好专项规划</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38932B4B">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认真贯彻落实《平昌县人民政府2024年森林防火命令》，强化重点时段火灾防控安排部署。着眼抓基层、打基础、固根本，结合森林防灭火标本兼治总体方案，扎实做好森林防火专项规划，落实</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建、管、养、护、用</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属地一体化责任，完善常态化保障机制，确保关键时刻用得上、用得好。</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2230C045">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3413267C">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2646CF73">
        <w:tblPrEx>
          <w:tblCellMar>
            <w:top w:w="0" w:type="dxa"/>
            <w:left w:w="108" w:type="dxa"/>
            <w:bottom w:w="0" w:type="dxa"/>
            <w:right w:w="108" w:type="dxa"/>
          </w:tblCellMar>
        </w:tblPrEx>
        <w:trPr>
          <w:trHeight w:val="288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0F228BAD">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5</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C5EC97D">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完善制度机制</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3ED0AFB6">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建立健全森林火灾监测预警机制和部门间会商调度、信息共享、协调联动机制，共同做好联防联控区域内的森林防灭火工作；建立健全</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一办六组</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工作体系，提高森防指规范化、专业化、实战化水平；完善应急救援联动机制建设，强化值班值守工作，确保快速响应。</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A1CD23A">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49270A57">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3B028771">
        <w:tblPrEx>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53EB7EC2">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6</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8FAB9B0">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狠抓火源管控工作</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7C4D3EC1">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严格管控火源，严防人为火灾发生。加强火险形势滚动会商研判，及时发布预警信息，落实直达基层一线的</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叫应</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机制，高火险时段及时发布命令、封山令等管制命令，在重点地段设临时防火检查卡点，严防无关人员和火源火种进山入林。严格执行野外用火审批制度，严控农事用火、民俗用火、生产用火、施工用火、野外生活用火和野外吸烟。加大执法力度，形成工作合力，坚决查处违法违规用火行为，真正做到</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守住山、看住人、管住火</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7F60E848">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6D1B70AF">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532C9068">
        <w:tblPrEx>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54B58227">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7</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44A5F8E">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排查治理火灾隐患</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6349A7A3">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以镇（街道）、村（社区）为单位，推动重点目标、重要设施火灾隐患排查整治常态化、长效化。林业、经信、电力、通信等部门要常态化组织开展林区输配电设施火灾隐患排查整治，加强线路巡检、巡线剪枝，妥善解决</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树线矛盾</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，消除变压器台区、通信基站等火灾风险隐患，大风天气紧急采取停电避险措施，做到</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风偏不闪落、树倒不碰线</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对林区生产经营企业、施工工地、露营地等区域开展全覆盖实地检查，发现的问题第一时间反馈给相关单位，严防因施工生产作业用火不慎引发森林火灾。因地制宜开展计划烧（清）除、开设隔离带，有效降低林下可燃物载量。</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7F58814E">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5B3B9696">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260D9E08">
        <w:tblPrEx>
          <w:tblCellMar>
            <w:top w:w="0" w:type="dxa"/>
            <w:left w:w="108" w:type="dxa"/>
            <w:bottom w:w="0" w:type="dxa"/>
            <w:right w:w="108" w:type="dxa"/>
          </w:tblCellMar>
        </w:tblPrEx>
        <w:trPr>
          <w:trHeight w:val="3619"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7B695A79">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8</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4770A697">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强化宣传教育引导</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6DC6C04C">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2"/>
                <w:sz w:val="28"/>
                <w:szCs w:val="28"/>
                <w:lang w:val="en-US" w:eastAsia="zh-CN" w:bidi="ar-SA"/>
              </w:rPr>
              <w:t>落实宣传月、警示日、</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开学第一课</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 xml:space="preserve"> 等制度安排，</w:t>
            </w:r>
            <w:r>
              <w:rPr>
                <w:rFonts w:hint="default" w:ascii="Times New Roman" w:hAnsi="Times New Roman" w:eastAsia="仿宋_GB2312" w:cs="Times New Roman"/>
                <w:color w:val="auto"/>
                <w:sz w:val="28"/>
                <w:szCs w:val="28"/>
              </w:rPr>
              <w:t>积极拓宽宣传</w:t>
            </w:r>
            <w:r>
              <w:rPr>
                <w:rFonts w:hint="default" w:ascii="Times New Roman" w:hAnsi="Times New Roman" w:eastAsia="仿宋_GB2312" w:cs="Times New Roman"/>
                <w:color w:val="auto"/>
                <w:sz w:val="28"/>
                <w:szCs w:val="28"/>
                <w:lang w:eastAsia="zh-CN"/>
              </w:rPr>
              <w:t>渠道</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kern w:val="2"/>
                <w:sz w:val="28"/>
                <w:szCs w:val="28"/>
                <w:lang w:val="en-US" w:eastAsia="zh-CN" w:bidi="ar-SA"/>
              </w:rPr>
              <w:t>充分依托广播、电视、微信、微博、抖音等媒体平台，加强防火命令、防灭火常识、法律法规和避险知识宣传普及，推出一批</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直击人心</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的文创作品；加大以案说法力度，及时曝光违法违规典型案例，增强社会各界防范意识、法治意识；</w:t>
            </w:r>
            <w:r>
              <w:rPr>
                <w:rFonts w:hint="default" w:ascii="Times New Roman" w:hAnsi="Times New Roman" w:eastAsia="仿宋_GB2312" w:cs="Times New Roman"/>
                <w:color w:val="auto"/>
                <w:sz w:val="28"/>
                <w:szCs w:val="28"/>
                <w:lang w:val="en-US" w:eastAsia="zh-CN"/>
              </w:rPr>
              <w:t>聚焦重要节点、重要时段开展专项宣传教育活动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加强文明祭祀、文明耕种、文明旅游等宣传，切实提高全民森林防火意识</w:t>
            </w:r>
            <w:r>
              <w:rPr>
                <w:rFonts w:hint="default" w:ascii="Times New Roman" w:hAnsi="Times New Roman" w:eastAsia="仿宋_GB2312" w:cs="Times New Roman"/>
                <w:color w:val="auto"/>
                <w:kern w:val="2"/>
                <w:sz w:val="28"/>
                <w:szCs w:val="28"/>
                <w:lang w:val="en-US" w:eastAsia="zh-CN" w:bidi="ar-SA"/>
              </w:rPr>
              <w:t>。加强森林防灭火工作舆情应对，主动回应社会关切，严肃查处故意编造、传播虚假信息等行为。</w:t>
            </w:r>
          </w:p>
        </w:tc>
        <w:tc>
          <w:tcPr>
            <w:tcW w:w="2613" w:type="dxa"/>
            <w:tcBorders>
              <w:top w:val="single" w:color="000000" w:sz="4" w:space="0"/>
              <w:left w:val="single" w:color="000000" w:sz="4" w:space="0"/>
              <w:bottom w:val="single" w:color="000000" w:sz="4" w:space="0"/>
              <w:right w:val="single" w:color="000000" w:sz="4" w:space="0"/>
            </w:tcBorders>
            <w:noWrap w:val="0"/>
            <w:vAlign w:val="top"/>
          </w:tcPr>
          <w:p w14:paraId="35AE6E95">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3A958302">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58962170">
        <w:tblPrEx>
          <w:tblCellMar>
            <w:top w:w="0" w:type="dxa"/>
            <w:left w:w="108" w:type="dxa"/>
            <w:bottom w:w="0" w:type="dxa"/>
            <w:right w:w="108" w:type="dxa"/>
          </w:tblCellMar>
        </w:tblPrEx>
        <w:trPr>
          <w:trHeight w:val="517"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D20D8EE">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9</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C08567F">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增强监测预警能力</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4F99E8F8">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建立健全森林火灾监测预警体系，开展监测预警工作。结合自然灾害应急能力，提升预警指挥项目建设，推进林火视频监控、火险多因子综合监测站等监测预警新技术、新装备、新系统应用。按照</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应接尽接</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要求提高监测即报系统视频监控接入率，综合运用卫星遥感、无人机巡护、视频监控、塔台瞭望、地面巡查、舆情监测多种手段，提高火情监测的时效性。按规定接收处理热点报警信息并反馈核查结果。</w:t>
            </w:r>
          </w:p>
        </w:tc>
        <w:tc>
          <w:tcPr>
            <w:tcW w:w="2613" w:type="dxa"/>
            <w:tcBorders>
              <w:top w:val="single" w:color="000000" w:sz="4" w:space="0"/>
              <w:left w:val="single" w:color="000000" w:sz="4" w:space="0"/>
              <w:bottom w:val="single" w:color="000000" w:sz="4" w:space="0"/>
              <w:right w:val="single" w:color="000000" w:sz="4" w:space="0"/>
            </w:tcBorders>
            <w:noWrap w:val="0"/>
            <w:vAlign w:val="top"/>
          </w:tcPr>
          <w:p w14:paraId="75AFAADA">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各镇（街道、管委会、管理局），平昌经济开发区；县林业局、县气象局，县森防指各成员单位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67E4EDBC">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485D0141">
        <w:tblPrEx>
          <w:tblCellMar>
            <w:top w:w="0" w:type="dxa"/>
            <w:left w:w="108" w:type="dxa"/>
            <w:bottom w:w="0" w:type="dxa"/>
            <w:right w:w="108" w:type="dxa"/>
          </w:tblCellMar>
        </w:tblPrEx>
        <w:trPr>
          <w:trHeight w:val="354"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2FC3BDD6">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10</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350FCAB">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强化基础设施建设</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3454F619">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u w:val="none"/>
                <w:lang w:val="en-US" w:eastAsia="zh-CN" w:bidi="ar"/>
              </w:rPr>
              <w:t>根据森林防灭火标本兼治总体方案和2024年防火项目建设任务，按照时间节点，倒排工期，挂图作战，全面完成国债森林防火道路、视频监控和省级财政林业草原改革发展专项资金平昌县林业防灾减灾服务、自然灾害应急能力提升工程预警指挥项目（森林草原火灾监测预警设备）等建设任务。</w:t>
            </w:r>
          </w:p>
        </w:tc>
        <w:tc>
          <w:tcPr>
            <w:tcW w:w="2613" w:type="dxa"/>
            <w:tcBorders>
              <w:top w:val="single" w:color="000000" w:sz="4" w:space="0"/>
              <w:left w:val="single" w:color="000000" w:sz="4" w:space="0"/>
              <w:bottom w:val="single" w:color="000000" w:sz="4" w:space="0"/>
              <w:right w:val="single" w:color="000000" w:sz="4" w:space="0"/>
            </w:tcBorders>
            <w:noWrap w:val="0"/>
            <w:vAlign w:val="top"/>
          </w:tcPr>
          <w:p w14:paraId="7FBB0184">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551ED8E6">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4C64C162">
        <w:tblPrEx>
          <w:tblCellMar>
            <w:top w:w="0" w:type="dxa"/>
            <w:left w:w="108" w:type="dxa"/>
            <w:bottom w:w="0" w:type="dxa"/>
            <w:right w:w="108" w:type="dxa"/>
          </w:tblCellMar>
        </w:tblPrEx>
        <w:trPr>
          <w:trHeight w:val="114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21247615">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11</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91D97FF">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强化资金项目保障</w:t>
            </w:r>
          </w:p>
        </w:tc>
        <w:tc>
          <w:tcPr>
            <w:tcW w:w="7668" w:type="dxa"/>
            <w:tcBorders>
              <w:top w:val="single" w:color="000000" w:sz="4" w:space="0"/>
              <w:left w:val="single" w:color="000000" w:sz="4" w:space="0"/>
              <w:bottom w:val="single" w:color="000000" w:sz="4" w:space="0"/>
              <w:right w:val="single" w:color="000000" w:sz="4" w:space="0"/>
            </w:tcBorders>
            <w:noWrap w:val="0"/>
            <w:vAlign w:val="center"/>
          </w:tcPr>
          <w:p w14:paraId="237A4581">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科学安排森林防灭火经费预算，落实年度投资计划，加强资金项目管理。按照森林防灭火标本兼治总体方案和规划的年度投资计划，落实同级财政筹资任务，资金使用管理规范。</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6746AA09">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4E5A3F8C">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0A20B92B">
        <w:tblPrEx>
          <w:tblCellMar>
            <w:top w:w="0" w:type="dxa"/>
            <w:left w:w="108" w:type="dxa"/>
            <w:bottom w:w="0" w:type="dxa"/>
            <w:right w:w="108" w:type="dxa"/>
          </w:tblCellMar>
        </w:tblPrEx>
        <w:trPr>
          <w:trHeight w:val="549"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692757F3">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12</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3C035DF">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加强扑火队伍建设</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78D5F60C">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2"/>
                <w:sz w:val="28"/>
                <w:szCs w:val="28"/>
                <w:lang w:val="en-US" w:eastAsia="zh-CN" w:bidi="ar-SA"/>
              </w:rPr>
              <w:t>按照职业化、专业化、规范化原则，健全保障机制，规范专业、半专业扑火力量建设，加强基层火情早期处理队伍建设。深化</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专业带兼职、兼职变专业</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模式，开展专业扑火队伍比武竞赛，探索开展专业扑火队伍达标考核。实施好自然灾害应急能力提升工程基层防灾项目，提升县、镇（街道）两级队伍防灭火物资装备配备水平。</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3606DB81">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4ACA44B8">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6486E137">
        <w:tblPrEx>
          <w:tblCellMar>
            <w:top w:w="0" w:type="dxa"/>
            <w:left w:w="108" w:type="dxa"/>
            <w:bottom w:w="0" w:type="dxa"/>
            <w:right w:w="108" w:type="dxa"/>
          </w:tblCellMar>
        </w:tblPrEx>
        <w:trPr>
          <w:trHeight w:val="942"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568EA4B7">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13</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DDE971B">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4"/>
                <w:szCs w:val="24"/>
                <w:u w:val="none"/>
                <w:lang w:bidi="ar-SA"/>
              </w:rPr>
            </w:pPr>
            <w:r>
              <w:rPr>
                <w:rFonts w:hint="default" w:ascii="Times New Roman" w:hAnsi="Times New Roman" w:eastAsia="仿宋_GB2312" w:cs="Times New Roman"/>
                <w:color w:val="auto"/>
                <w:kern w:val="0"/>
                <w:sz w:val="28"/>
                <w:szCs w:val="28"/>
                <w:u w:val="none"/>
                <w:lang w:val="en-US" w:eastAsia="zh-CN" w:bidi="ar"/>
              </w:rPr>
              <w:t>健全完善预案体系</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7DDE1729">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4"/>
                <w:szCs w:val="24"/>
                <w:u w:val="none"/>
                <w:lang w:bidi="ar-SA"/>
              </w:rPr>
            </w:pPr>
            <w:r>
              <w:rPr>
                <w:rFonts w:hint="default" w:ascii="Times New Roman" w:hAnsi="Times New Roman" w:eastAsia="仿宋_GB2312" w:cs="Times New Roman"/>
                <w:color w:val="auto"/>
                <w:kern w:val="2"/>
                <w:sz w:val="28"/>
                <w:szCs w:val="28"/>
                <w:lang w:val="en-US" w:eastAsia="zh-CN" w:bidi="ar-SA"/>
              </w:rPr>
              <w:t>及时修订完善应急预案（办法），开展综合实战演练和桌面推演。聚焦防范应对重特大森林火灾，动态修订专项预案和训练演练。深化对不同区域环境、多方力量协同、多种作战样式综合运用的战法研究，推动扑救力量、装备物资和组织指挥</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三靠前</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B131783">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77C4C39F">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17652622">
        <w:tblPrEx>
          <w:tblCellMar>
            <w:top w:w="0" w:type="dxa"/>
            <w:left w:w="108" w:type="dxa"/>
            <w:bottom w:w="0" w:type="dxa"/>
            <w:right w:w="108" w:type="dxa"/>
          </w:tblCellMar>
        </w:tblPrEx>
        <w:trPr>
          <w:trHeight w:val="90"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FCDAF3A">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u w:val="none"/>
                <w:lang w:val="en-US" w:eastAsia="zh-CN" w:bidi="ar"/>
              </w:rPr>
              <w:t>14</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7003356D">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u w:val="none"/>
                <w:lang w:val="en-US" w:eastAsia="zh-CN" w:bidi="ar"/>
              </w:rPr>
              <w:t>加强业务培训</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68FAD39D">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仿宋_GB2312" w:cs="Times New Roman"/>
                <w:color w:val="auto"/>
                <w:kern w:val="2"/>
                <w:sz w:val="28"/>
                <w:szCs w:val="28"/>
                <w:lang w:val="en-US" w:eastAsia="zh-CN" w:bidi="ar-SA"/>
              </w:rPr>
              <w:t>开展</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教官团</w:t>
            </w:r>
            <w:r>
              <w:rPr>
                <w:rFonts w:hint="eastAsia" w:ascii="Times New Roman" w:hAnsi="Times New Roman"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送教培训，加强镇（街道）、村（社区）、国有林场单位扑救队伍培训，加强火场安全扑救、紧急避险和自救互救能力训练，重点解决紧急疏散转移群众、有效保护重要目标和提高扑救人员自身安全的能力，从源头防范化解安全风险，确保救援行动安全。</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7DB9A1CD">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67305FDB">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159322A3">
        <w:tblPrEx>
          <w:tblCellMar>
            <w:top w:w="0" w:type="dxa"/>
            <w:left w:w="108" w:type="dxa"/>
            <w:bottom w:w="0" w:type="dxa"/>
            <w:right w:w="108" w:type="dxa"/>
          </w:tblCellMar>
        </w:tblPrEx>
        <w:trPr>
          <w:trHeight w:val="955"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2BEB4EC5">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15</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519700C5">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强化扑火安全管理</w:t>
            </w:r>
          </w:p>
        </w:tc>
        <w:tc>
          <w:tcPr>
            <w:tcW w:w="7668" w:type="dxa"/>
            <w:tcBorders>
              <w:top w:val="single" w:color="000000" w:sz="4" w:space="0"/>
              <w:left w:val="single" w:color="000000" w:sz="4" w:space="0"/>
              <w:bottom w:val="single" w:color="000000" w:sz="4" w:space="0"/>
              <w:right w:val="single" w:color="000000" w:sz="4" w:space="0"/>
            </w:tcBorders>
            <w:noWrap w:val="0"/>
            <w:vAlign w:val="top"/>
          </w:tcPr>
          <w:p w14:paraId="75BB3FC8">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规范扑火指挥流程，严格执行扑火安全</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十个必须</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十个严禁</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规定和</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三先四不打</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要求，加强专业指挥、风险评估和现场管控，细化完善火场安全技术交底措施，严明火场战时纪律，做到应急响应及时、人员转移迅速、形势研判准确、指挥处置果断、扑救安全高效，实现</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火扑灭、零伤亡、少损失</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379D708C">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各镇（街道、管委会、管理局），平昌经济开发区；市森防指各成员单位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0B69D0D7">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1122C468">
        <w:tblPrEx>
          <w:tblCellMar>
            <w:top w:w="0" w:type="dxa"/>
            <w:left w:w="108" w:type="dxa"/>
            <w:bottom w:w="0" w:type="dxa"/>
            <w:right w:w="108" w:type="dxa"/>
          </w:tblCellMar>
        </w:tblPrEx>
        <w:trPr>
          <w:trHeight w:val="1055"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AC2A9ED">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16</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2B424A68">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科学应对处置火灾</w:t>
            </w:r>
          </w:p>
        </w:tc>
        <w:tc>
          <w:tcPr>
            <w:tcW w:w="7668" w:type="dxa"/>
            <w:tcBorders>
              <w:top w:val="single" w:color="000000" w:sz="4" w:space="0"/>
              <w:left w:val="single" w:color="000000" w:sz="4" w:space="0"/>
              <w:bottom w:val="single" w:color="000000" w:sz="4" w:space="0"/>
              <w:right w:val="single" w:color="000000" w:sz="4" w:space="0"/>
            </w:tcBorders>
            <w:noWrap w:val="0"/>
            <w:vAlign w:val="center"/>
          </w:tcPr>
          <w:p w14:paraId="18158447">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牢固树立生命至上、安全第一的理念，遇有火情，按照规定及时启动森林火灾应急预案（办法），指定负责人按规定到场指挥扑救工作，采取有效措施组织安全扑救火灾。针对队伍行进、作业条件、灭火流程等环节开展全要素安全评估，科学制定应急避险预案，防止发生扑火行动安全问题，坚决防止人员伤亡。所有参加灭火的单位和个人必须服从前线指挥部统一指挥，把灭火策略、行动部署、力量调配等工作交给专业人员来做。按时按要求报告火灾火情信息。</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29FC2520">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0C5AD1DB">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6F57B2E0">
        <w:tblPrEx>
          <w:tblCellMar>
            <w:top w:w="0" w:type="dxa"/>
            <w:left w:w="108" w:type="dxa"/>
            <w:bottom w:w="0" w:type="dxa"/>
            <w:right w:w="108" w:type="dxa"/>
          </w:tblCellMar>
        </w:tblPrEx>
        <w:trPr>
          <w:trHeight w:val="365"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07C81D4D">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17</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36F5D6E2">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强化火案侦破和协防协救</w:t>
            </w:r>
          </w:p>
        </w:tc>
        <w:tc>
          <w:tcPr>
            <w:tcW w:w="7668" w:type="dxa"/>
            <w:tcBorders>
              <w:top w:val="single" w:color="000000" w:sz="4" w:space="0"/>
              <w:left w:val="single" w:color="000000" w:sz="4" w:space="0"/>
              <w:bottom w:val="single" w:color="000000" w:sz="4" w:space="0"/>
              <w:right w:val="single" w:color="000000" w:sz="4" w:space="0"/>
            </w:tcBorders>
            <w:noWrap w:val="0"/>
            <w:vAlign w:val="center"/>
          </w:tcPr>
          <w:p w14:paraId="156FE958">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公安机关有专门队伍负责森林防灭火和火案侦查工作，确保森警力量、架构不变。落实森林火灾刑事案件破案责任制，按照</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一案一组、不破不撤</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原则，对每一起案件成立专案组，重特大案件实行挂牌督办。制定完善并落实森林火灾处置工作预案，发生火灾后及时组织警力参与处置，做好火场警戒、治安维护、交通保畅，并及时上报处置工作情况，严防重大社会治安和稳定问题发生。协同做好宣传教育、隐患排查、重点区域巡护和野外违规用火处罚。</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617D3F7">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县公安局</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267052CA">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r w14:paraId="76B1821E">
        <w:tblPrEx>
          <w:tblCellMar>
            <w:top w:w="0" w:type="dxa"/>
            <w:left w:w="108" w:type="dxa"/>
            <w:bottom w:w="0" w:type="dxa"/>
            <w:right w:w="108" w:type="dxa"/>
          </w:tblCellMar>
        </w:tblPrEx>
        <w:trPr>
          <w:trHeight w:val="1492" w:hRule="atLeast"/>
          <w:jc w:val="center"/>
        </w:trPr>
        <w:tc>
          <w:tcPr>
            <w:tcW w:w="865" w:type="dxa"/>
            <w:tcBorders>
              <w:top w:val="single" w:color="000000" w:sz="4" w:space="0"/>
              <w:left w:val="single" w:color="000000" w:sz="4" w:space="0"/>
              <w:bottom w:val="single" w:color="000000" w:sz="4" w:space="0"/>
              <w:right w:val="single" w:color="000000" w:sz="4" w:space="0"/>
            </w:tcBorders>
            <w:noWrap w:val="0"/>
            <w:vAlign w:val="center"/>
          </w:tcPr>
          <w:p w14:paraId="31F4FD6B">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18</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4CB1ED10">
            <w:pPr>
              <w:keepNext w:val="0"/>
              <w:keepLines w:val="0"/>
              <w:pageBreakBefore w:val="0"/>
              <w:widowControl/>
              <w:suppressLineNumbers w:val="0"/>
              <w:suppressAutoHyphens/>
              <w:kinsoku/>
              <w:wordWrap/>
              <w:overflowPunct/>
              <w:topLinePunct w:val="0"/>
              <w:autoSpaceDE/>
              <w:autoSpaceDN/>
              <w:bidi w:val="0"/>
              <w:adjustRightInd/>
              <w:snapToGrid/>
              <w:spacing w:line="440" w:lineRule="exact"/>
              <w:ind w:right="0" w:firstLine="0"/>
              <w:jc w:val="center"/>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严格追责问责</w:t>
            </w:r>
          </w:p>
        </w:tc>
        <w:tc>
          <w:tcPr>
            <w:tcW w:w="7668" w:type="dxa"/>
            <w:tcBorders>
              <w:top w:val="single" w:color="000000" w:sz="4" w:space="0"/>
              <w:left w:val="single" w:color="000000" w:sz="4" w:space="0"/>
              <w:bottom w:val="single" w:color="000000" w:sz="4" w:space="0"/>
              <w:right w:val="single" w:color="000000" w:sz="4" w:space="0"/>
            </w:tcBorders>
            <w:noWrap w:val="0"/>
            <w:vAlign w:val="center"/>
          </w:tcPr>
          <w:p w14:paraId="499D3259">
            <w:pPr>
              <w:keepNext w:val="0"/>
              <w:keepLines w:val="0"/>
              <w:pageBreakBefore w:val="0"/>
              <w:widowControl/>
              <w:suppressLineNumbers w:val="0"/>
              <w:suppressAutoHyphens/>
              <w:kinsoku/>
              <w:wordWrap/>
              <w:overflowPunct/>
              <w:topLinePunct w:val="0"/>
              <w:autoSpaceDE/>
              <w:autoSpaceDN/>
              <w:bidi w:val="0"/>
              <w:adjustRightInd/>
              <w:snapToGrid/>
              <w:spacing w:line="40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持之以恒抓好森林防灭火安全防范各项工作，对责任落实不到位、重点工作推进迟缓、安全防范措施不当、监管不到位的要及时给予通报批评、公开曝光、约谈问责，对因失职失责造成严重后果或者恶劣影响，要依法依规追究有关部门、经营单位、主管人员的责任，造成事故的要严格按照</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四不放过</w:t>
            </w:r>
            <w:r>
              <w:rPr>
                <w:rFonts w:hint="eastAsia" w:ascii="Times New Roman" w:hAnsi="Times New Roman" w:eastAsia="仿宋_GB2312" w:cs="Times New Roman"/>
                <w:color w:val="auto"/>
                <w:kern w:val="0"/>
                <w:sz w:val="28"/>
                <w:szCs w:val="28"/>
                <w:u w:val="none"/>
                <w:lang w:val="en-US" w:eastAsia="zh-CN" w:bidi="ar"/>
              </w:rPr>
              <w:t>”</w:t>
            </w:r>
            <w:r>
              <w:rPr>
                <w:rFonts w:hint="default" w:ascii="Times New Roman" w:hAnsi="Times New Roman" w:eastAsia="仿宋_GB2312" w:cs="Times New Roman"/>
                <w:color w:val="auto"/>
                <w:kern w:val="0"/>
                <w:sz w:val="28"/>
                <w:szCs w:val="28"/>
                <w:u w:val="none"/>
                <w:lang w:val="en-US" w:eastAsia="zh-CN" w:bidi="ar"/>
              </w:rPr>
              <w:t>原则，发现一起，查处一起，一查到底。</w:t>
            </w:r>
          </w:p>
        </w:tc>
        <w:tc>
          <w:tcPr>
            <w:tcW w:w="2613" w:type="dxa"/>
            <w:tcBorders>
              <w:top w:val="single" w:color="000000" w:sz="4" w:space="0"/>
              <w:left w:val="single" w:color="000000" w:sz="4" w:space="0"/>
              <w:bottom w:val="single" w:color="000000" w:sz="4" w:space="0"/>
              <w:right w:val="single" w:color="000000" w:sz="4" w:space="0"/>
            </w:tcBorders>
            <w:noWrap w:val="0"/>
            <w:vAlign w:val="center"/>
          </w:tcPr>
          <w:p w14:paraId="027684A3">
            <w:pPr>
              <w:keepNext w:val="0"/>
              <w:keepLines w:val="0"/>
              <w:pageBreakBefore w:val="0"/>
              <w:widowControl/>
              <w:suppressLineNumbers w:val="0"/>
              <w:suppressAutoHyphens/>
              <w:kinsoku/>
              <w:wordWrap/>
              <w:overflowPunct/>
              <w:topLinePunct w:val="0"/>
              <w:autoSpaceDE/>
              <w:autoSpaceDN/>
              <w:bidi w:val="0"/>
              <w:adjustRightInd/>
              <w:snapToGrid/>
              <w:spacing w:line="420" w:lineRule="exact"/>
              <w:ind w:right="0" w:firstLine="0"/>
              <w:jc w:val="left"/>
              <w:textAlignment w:val="center"/>
              <w:rPr>
                <w:rFonts w:hint="default" w:ascii="Times New Roman" w:hAnsi="Times New Roman" w:eastAsia="仿宋_GB2312" w:cs="Times New Roman"/>
                <w:color w:val="auto"/>
                <w:sz w:val="28"/>
                <w:szCs w:val="28"/>
                <w:u w:val="none"/>
                <w:lang w:bidi="ar-SA"/>
              </w:rPr>
            </w:pPr>
            <w:r>
              <w:rPr>
                <w:rFonts w:hint="default" w:ascii="Times New Roman" w:hAnsi="Times New Roman" w:eastAsia="仿宋_GB2312" w:cs="Times New Roman"/>
                <w:color w:val="auto"/>
                <w:kern w:val="0"/>
                <w:sz w:val="28"/>
                <w:szCs w:val="28"/>
                <w:u w:val="none"/>
                <w:lang w:val="en-US" w:eastAsia="zh-CN" w:bidi="ar"/>
              </w:rPr>
              <w:t>各镇（街道、管委会、管理局），平昌经济开发区；县纪委监委、县目标绩效办、县公安机关、县森防指各成员单位</w:t>
            </w:r>
          </w:p>
        </w:tc>
        <w:tc>
          <w:tcPr>
            <w:tcW w:w="965" w:type="dxa"/>
            <w:gridSpan w:val="2"/>
            <w:tcBorders>
              <w:top w:val="single" w:color="000000" w:sz="4" w:space="0"/>
              <w:left w:val="single" w:color="000000" w:sz="4" w:space="0"/>
              <w:bottom w:val="single" w:color="000000" w:sz="4" w:space="0"/>
              <w:right w:val="single" w:color="000000" w:sz="4" w:space="0"/>
            </w:tcBorders>
            <w:noWrap/>
            <w:vAlign w:val="top"/>
          </w:tcPr>
          <w:p w14:paraId="2C2B9BC6">
            <w:pPr>
              <w:keepNext w:val="0"/>
              <w:keepLines w:val="0"/>
              <w:pageBreakBefore w:val="0"/>
              <w:widowControl w:val="0"/>
              <w:suppressAutoHyphens/>
              <w:kinsoku/>
              <w:wordWrap/>
              <w:overflowPunct/>
              <w:topLinePunct w:val="0"/>
              <w:autoSpaceDE/>
              <w:autoSpaceDN/>
              <w:bidi w:val="0"/>
              <w:adjustRightInd/>
              <w:snapToGrid/>
              <w:spacing w:line="400" w:lineRule="exact"/>
              <w:ind w:right="0" w:firstLine="0"/>
              <w:jc w:val="both"/>
              <w:rPr>
                <w:rFonts w:hint="default" w:ascii="Times New Roman" w:hAnsi="Times New Roman" w:eastAsia="仿宋_GB2312" w:cs="Times New Roman"/>
                <w:color w:val="auto"/>
                <w:sz w:val="28"/>
                <w:szCs w:val="28"/>
                <w:u w:val="none"/>
                <w:lang w:bidi="ar-SA"/>
              </w:rPr>
            </w:pPr>
          </w:p>
        </w:tc>
      </w:tr>
    </w:tbl>
    <w:p w14:paraId="25C79859">
      <w:pPr>
        <w:spacing w:line="540" w:lineRule="exact"/>
        <w:ind w:right="-945" w:rightChars="-450" w:firstLine="320" w:firstLineChars="100"/>
        <w:jc w:val="left"/>
        <w:rPr>
          <w:rFonts w:hint="default" w:ascii="Times New Roman" w:hAnsi="Times New Roman" w:eastAsia="仿宋_GB2312" w:cs="Times New Roman"/>
          <w:color w:val="auto"/>
          <w:sz w:val="32"/>
          <w:szCs w:val="32"/>
        </w:rPr>
      </w:pPr>
    </w:p>
    <w:p w14:paraId="1E53C136">
      <w:pPr>
        <w:spacing w:line="540" w:lineRule="exact"/>
        <w:ind w:right="-945" w:rightChars="-450" w:firstLine="320" w:firstLineChars="100"/>
        <w:jc w:val="left"/>
        <w:rPr>
          <w:rFonts w:hint="default" w:ascii="Times New Roman" w:hAnsi="Times New Roman" w:eastAsia="仿宋_GB2312" w:cs="Times New Roman"/>
          <w:color w:val="auto"/>
          <w:sz w:val="32"/>
          <w:szCs w:val="32"/>
        </w:rPr>
      </w:pPr>
    </w:p>
    <w:sectPr>
      <w:headerReference r:id="rId3" w:type="default"/>
      <w:footerReference r:id="rId4" w:type="default"/>
      <w:pgSz w:w="16838" w:h="11906" w:orient="landscape"/>
      <w:pgMar w:top="1587" w:right="2098" w:bottom="1474" w:left="1984" w:header="720" w:footer="1417" w:gutter="0"/>
      <w:pgBorders>
        <w:top w:val="none" w:sz="0" w:space="0"/>
        <w:left w:val="none" w:sz="0" w:space="0"/>
        <w:bottom w:val="none" w:sz="0" w:space="0"/>
        <w:right w:val="none" w:sz="0" w:space="0"/>
      </w:pgBorders>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1B2F">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-13970</wp:posOffset>
              </wp:positionH>
              <wp:positionV relativeFrom="paragraph">
                <wp:posOffset>300990</wp:posOffset>
              </wp:positionV>
              <wp:extent cx="717550" cy="30226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717550" cy="302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BE27A">
                          <w:pPr>
                            <w:pStyle w:val="7"/>
                            <w:shd w:val="clear" w:fill="FFFFFF" w:themeFill="background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1pt;margin-top:23.7pt;height:23.8pt;width:56.5pt;mso-position-horizontal-relative:margin;z-index:251659264;mso-width-relative:page;mso-height-relative:page;" filled="f" stroked="f" coordsize="21600,21600" o:gfxdata="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w37YtcAAAAIAQAADwAAAAAAAAABACAAAAAiAAAAZHJzL2Rvd25yZXYu&#10;eG1sUEsBAhQAFAAAAAgAh07iQB2+Mhk1AgAAYwQAAA4AAAAAAAAAAQAgAAAAJgEAAGRycy9lMm9E&#10;b2MueG1sUEsFBgAAAAAGAAYAWQEAAM0FAAAAAA==&#10;">
              <v:fill on="f" focussize="0,0"/>
              <v:stroke on="f" weight="0.5pt"/>
              <v:imagedata o:title=""/>
              <o:lock v:ext="edit" aspectratio="f"/>
              <v:textbox inset="0mm,0mm,0mm,0mm">
                <w:txbxContent>
                  <w:p w14:paraId="3A2BE27A">
                    <w:pPr>
                      <w:pStyle w:val="7"/>
                      <w:shd w:val="clear" w:fill="FFFFFF" w:themeFill="background1"/>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A267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zQwYzA4YzM0M2FhNDg2Nzg3OGFlYTY2NjM5NGUifQ=="/>
  </w:docVars>
  <w:rsids>
    <w:rsidRoot w:val="004C7755"/>
    <w:rsid w:val="000137E3"/>
    <w:rsid w:val="0003123D"/>
    <w:rsid w:val="00034B93"/>
    <w:rsid w:val="00043997"/>
    <w:rsid w:val="00047412"/>
    <w:rsid w:val="000559BA"/>
    <w:rsid w:val="000603E6"/>
    <w:rsid w:val="00063065"/>
    <w:rsid w:val="0006530E"/>
    <w:rsid w:val="00075F3D"/>
    <w:rsid w:val="0008736E"/>
    <w:rsid w:val="00090490"/>
    <w:rsid w:val="00092FE4"/>
    <w:rsid w:val="00097914"/>
    <w:rsid w:val="00097A98"/>
    <w:rsid w:val="000C3663"/>
    <w:rsid w:val="000C5B71"/>
    <w:rsid w:val="000D1629"/>
    <w:rsid w:val="000D550F"/>
    <w:rsid w:val="000E18E0"/>
    <w:rsid w:val="00107028"/>
    <w:rsid w:val="0011233C"/>
    <w:rsid w:val="0012283A"/>
    <w:rsid w:val="00137167"/>
    <w:rsid w:val="00146C55"/>
    <w:rsid w:val="001620B8"/>
    <w:rsid w:val="00166523"/>
    <w:rsid w:val="001677C1"/>
    <w:rsid w:val="00170B44"/>
    <w:rsid w:val="0017129C"/>
    <w:rsid w:val="0018050B"/>
    <w:rsid w:val="00184FF7"/>
    <w:rsid w:val="001866EE"/>
    <w:rsid w:val="001944F6"/>
    <w:rsid w:val="001B136A"/>
    <w:rsid w:val="001B23F1"/>
    <w:rsid w:val="001C53E2"/>
    <w:rsid w:val="001D5979"/>
    <w:rsid w:val="001E0378"/>
    <w:rsid w:val="001E30AE"/>
    <w:rsid w:val="001F0816"/>
    <w:rsid w:val="002030C0"/>
    <w:rsid w:val="00207172"/>
    <w:rsid w:val="00211823"/>
    <w:rsid w:val="00221C2B"/>
    <w:rsid w:val="00225A17"/>
    <w:rsid w:val="0023225C"/>
    <w:rsid w:val="00233032"/>
    <w:rsid w:val="00234B31"/>
    <w:rsid w:val="00254740"/>
    <w:rsid w:val="0027256E"/>
    <w:rsid w:val="00297E94"/>
    <w:rsid w:val="002A0EEB"/>
    <w:rsid w:val="002D2B3C"/>
    <w:rsid w:val="002D3994"/>
    <w:rsid w:val="002D6A52"/>
    <w:rsid w:val="002E4E5F"/>
    <w:rsid w:val="002F7FCA"/>
    <w:rsid w:val="0030290A"/>
    <w:rsid w:val="00321931"/>
    <w:rsid w:val="00351C6F"/>
    <w:rsid w:val="00352ED1"/>
    <w:rsid w:val="00353177"/>
    <w:rsid w:val="0035540F"/>
    <w:rsid w:val="00357D47"/>
    <w:rsid w:val="00361245"/>
    <w:rsid w:val="00362991"/>
    <w:rsid w:val="0037412F"/>
    <w:rsid w:val="00377CAD"/>
    <w:rsid w:val="00391555"/>
    <w:rsid w:val="003920B3"/>
    <w:rsid w:val="003A0796"/>
    <w:rsid w:val="003B3D39"/>
    <w:rsid w:val="003C4436"/>
    <w:rsid w:val="003C50B5"/>
    <w:rsid w:val="003C55B6"/>
    <w:rsid w:val="003C6F6A"/>
    <w:rsid w:val="003D1050"/>
    <w:rsid w:val="003D4B77"/>
    <w:rsid w:val="003E1F98"/>
    <w:rsid w:val="003E3FAC"/>
    <w:rsid w:val="003F2B78"/>
    <w:rsid w:val="004103C5"/>
    <w:rsid w:val="00411A61"/>
    <w:rsid w:val="00415734"/>
    <w:rsid w:val="00420A05"/>
    <w:rsid w:val="004360EF"/>
    <w:rsid w:val="0044226C"/>
    <w:rsid w:val="00446E16"/>
    <w:rsid w:val="004613F3"/>
    <w:rsid w:val="00462342"/>
    <w:rsid w:val="004652BC"/>
    <w:rsid w:val="00470D5B"/>
    <w:rsid w:val="00471735"/>
    <w:rsid w:val="004811BC"/>
    <w:rsid w:val="0049335C"/>
    <w:rsid w:val="00494583"/>
    <w:rsid w:val="004954E3"/>
    <w:rsid w:val="004A2D9B"/>
    <w:rsid w:val="004C742A"/>
    <w:rsid w:val="004C7755"/>
    <w:rsid w:val="004E4727"/>
    <w:rsid w:val="004F0D79"/>
    <w:rsid w:val="004F40C8"/>
    <w:rsid w:val="004F4AD0"/>
    <w:rsid w:val="004F6187"/>
    <w:rsid w:val="004F73CC"/>
    <w:rsid w:val="00517707"/>
    <w:rsid w:val="0053763F"/>
    <w:rsid w:val="00546DDD"/>
    <w:rsid w:val="0055546C"/>
    <w:rsid w:val="00564BB1"/>
    <w:rsid w:val="00565CFE"/>
    <w:rsid w:val="0057225A"/>
    <w:rsid w:val="0058674D"/>
    <w:rsid w:val="00587852"/>
    <w:rsid w:val="0059491A"/>
    <w:rsid w:val="005A21D8"/>
    <w:rsid w:val="005B0A1C"/>
    <w:rsid w:val="005B1C49"/>
    <w:rsid w:val="005B58F4"/>
    <w:rsid w:val="005E2A1B"/>
    <w:rsid w:val="005E3668"/>
    <w:rsid w:val="005E382E"/>
    <w:rsid w:val="005F3E33"/>
    <w:rsid w:val="00612AE4"/>
    <w:rsid w:val="00614006"/>
    <w:rsid w:val="00615029"/>
    <w:rsid w:val="00635E28"/>
    <w:rsid w:val="00657100"/>
    <w:rsid w:val="00671CF7"/>
    <w:rsid w:val="00676CC7"/>
    <w:rsid w:val="00683370"/>
    <w:rsid w:val="0069269A"/>
    <w:rsid w:val="006B329A"/>
    <w:rsid w:val="006B7ABA"/>
    <w:rsid w:val="006D3798"/>
    <w:rsid w:val="006D62A8"/>
    <w:rsid w:val="006D7DF3"/>
    <w:rsid w:val="006E0296"/>
    <w:rsid w:val="006E051A"/>
    <w:rsid w:val="006E28A1"/>
    <w:rsid w:val="0070523F"/>
    <w:rsid w:val="007066FD"/>
    <w:rsid w:val="00707423"/>
    <w:rsid w:val="00711DDB"/>
    <w:rsid w:val="00731281"/>
    <w:rsid w:val="007358A8"/>
    <w:rsid w:val="00746B0B"/>
    <w:rsid w:val="00754EEA"/>
    <w:rsid w:val="00757D4B"/>
    <w:rsid w:val="00760C13"/>
    <w:rsid w:val="0077047C"/>
    <w:rsid w:val="007812C5"/>
    <w:rsid w:val="0078147F"/>
    <w:rsid w:val="00783A5A"/>
    <w:rsid w:val="007864E5"/>
    <w:rsid w:val="0079596E"/>
    <w:rsid w:val="007C31F4"/>
    <w:rsid w:val="007C5599"/>
    <w:rsid w:val="007D3B18"/>
    <w:rsid w:val="007E1299"/>
    <w:rsid w:val="007F0952"/>
    <w:rsid w:val="00801B64"/>
    <w:rsid w:val="0081316A"/>
    <w:rsid w:val="00817124"/>
    <w:rsid w:val="00820C6E"/>
    <w:rsid w:val="00823045"/>
    <w:rsid w:val="00824BFF"/>
    <w:rsid w:val="00826AB0"/>
    <w:rsid w:val="00826DA5"/>
    <w:rsid w:val="00834E77"/>
    <w:rsid w:val="00837942"/>
    <w:rsid w:val="00840FED"/>
    <w:rsid w:val="008517D5"/>
    <w:rsid w:val="00852EE7"/>
    <w:rsid w:val="00856038"/>
    <w:rsid w:val="00864D82"/>
    <w:rsid w:val="00865720"/>
    <w:rsid w:val="00873899"/>
    <w:rsid w:val="00876ABB"/>
    <w:rsid w:val="008826D2"/>
    <w:rsid w:val="008944E7"/>
    <w:rsid w:val="00895E26"/>
    <w:rsid w:val="008A6773"/>
    <w:rsid w:val="008B5092"/>
    <w:rsid w:val="008C1516"/>
    <w:rsid w:val="008C28EF"/>
    <w:rsid w:val="008C71D1"/>
    <w:rsid w:val="008D57E5"/>
    <w:rsid w:val="008E7B91"/>
    <w:rsid w:val="0090529D"/>
    <w:rsid w:val="009218A3"/>
    <w:rsid w:val="00955CC0"/>
    <w:rsid w:val="00972ACF"/>
    <w:rsid w:val="00974544"/>
    <w:rsid w:val="0097532B"/>
    <w:rsid w:val="0097719F"/>
    <w:rsid w:val="00983C2F"/>
    <w:rsid w:val="00993BD6"/>
    <w:rsid w:val="009972A4"/>
    <w:rsid w:val="009A6382"/>
    <w:rsid w:val="009B030D"/>
    <w:rsid w:val="009C0EFA"/>
    <w:rsid w:val="009D4993"/>
    <w:rsid w:val="009E22AD"/>
    <w:rsid w:val="009E2F0B"/>
    <w:rsid w:val="009E6EE9"/>
    <w:rsid w:val="00A0536D"/>
    <w:rsid w:val="00A167AB"/>
    <w:rsid w:val="00A17F04"/>
    <w:rsid w:val="00A2544E"/>
    <w:rsid w:val="00A354E4"/>
    <w:rsid w:val="00A42BF5"/>
    <w:rsid w:val="00A556C8"/>
    <w:rsid w:val="00A6500C"/>
    <w:rsid w:val="00A657FF"/>
    <w:rsid w:val="00A66919"/>
    <w:rsid w:val="00A7442B"/>
    <w:rsid w:val="00A96364"/>
    <w:rsid w:val="00AA39DE"/>
    <w:rsid w:val="00AA7D5B"/>
    <w:rsid w:val="00AB6104"/>
    <w:rsid w:val="00AB6CA5"/>
    <w:rsid w:val="00AC5A38"/>
    <w:rsid w:val="00AE3857"/>
    <w:rsid w:val="00B00BF6"/>
    <w:rsid w:val="00B0490D"/>
    <w:rsid w:val="00B056E3"/>
    <w:rsid w:val="00B110AC"/>
    <w:rsid w:val="00B115AE"/>
    <w:rsid w:val="00B14B50"/>
    <w:rsid w:val="00B212A4"/>
    <w:rsid w:val="00B24F0E"/>
    <w:rsid w:val="00B618CE"/>
    <w:rsid w:val="00B70DD6"/>
    <w:rsid w:val="00B719BF"/>
    <w:rsid w:val="00B74E9A"/>
    <w:rsid w:val="00B87AB4"/>
    <w:rsid w:val="00B94009"/>
    <w:rsid w:val="00B973B2"/>
    <w:rsid w:val="00BA3850"/>
    <w:rsid w:val="00BB3A9E"/>
    <w:rsid w:val="00BE5583"/>
    <w:rsid w:val="00BE5E60"/>
    <w:rsid w:val="00BE75CD"/>
    <w:rsid w:val="00C04589"/>
    <w:rsid w:val="00C05406"/>
    <w:rsid w:val="00C16FB6"/>
    <w:rsid w:val="00C27693"/>
    <w:rsid w:val="00C3003F"/>
    <w:rsid w:val="00C346F5"/>
    <w:rsid w:val="00C355D3"/>
    <w:rsid w:val="00C3620F"/>
    <w:rsid w:val="00C41464"/>
    <w:rsid w:val="00C459BE"/>
    <w:rsid w:val="00C5341C"/>
    <w:rsid w:val="00C73FBF"/>
    <w:rsid w:val="00C76CDC"/>
    <w:rsid w:val="00C86DA0"/>
    <w:rsid w:val="00C90784"/>
    <w:rsid w:val="00C95159"/>
    <w:rsid w:val="00CC624B"/>
    <w:rsid w:val="00CD1D55"/>
    <w:rsid w:val="00CD1E3C"/>
    <w:rsid w:val="00CD268C"/>
    <w:rsid w:val="00CE2364"/>
    <w:rsid w:val="00CE3A2E"/>
    <w:rsid w:val="00CF26B0"/>
    <w:rsid w:val="00CF7494"/>
    <w:rsid w:val="00D01159"/>
    <w:rsid w:val="00D20B99"/>
    <w:rsid w:val="00D65ACB"/>
    <w:rsid w:val="00D71CDC"/>
    <w:rsid w:val="00D76191"/>
    <w:rsid w:val="00D82FEA"/>
    <w:rsid w:val="00D86296"/>
    <w:rsid w:val="00D87085"/>
    <w:rsid w:val="00DA0B75"/>
    <w:rsid w:val="00DA1438"/>
    <w:rsid w:val="00DD0545"/>
    <w:rsid w:val="00DD1A0B"/>
    <w:rsid w:val="00DE4D07"/>
    <w:rsid w:val="00DF1BDC"/>
    <w:rsid w:val="00DF719D"/>
    <w:rsid w:val="00E335DE"/>
    <w:rsid w:val="00E7181F"/>
    <w:rsid w:val="00E74965"/>
    <w:rsid w:val="00E84F13"/>
    <w:rsid w:val="00E90E56"/>
    <w:rsid w:val="00E947E8"/>
    <w:rsid w:val="00EA3343"/>
    <w:rsid w:val="00EB7A86"/>
    <w:rsid w:val="00EC05EB"/>
    <w:rsid w:val="00ED65FF"/>
    <w:rsid w:val="00EF6F0E"/>
    <w:rsid w:val="00F03F30"/>
    <w:rsid w:val="00F15922"/>
    <w:rsid w:val="00F42DFF"/>
    <w:rsid w:val="00F43838"/>
    <w:rsid w:val="00F4609F"/>
    <w:rsid w:val="00F51CBB"/>
    <w:rsid w:val="00F54E59"/>
    <w:rsid w:val="00F80BB0"/>
    <w:rsid w:val="00F81688"/>
    <w:rsid w:val="00FB77C0"/>
    <w:rsid w:val="00FC5B49"/>
    <w:rsid w:val="00FD6F9E"/>
    <w:rsid w:val="00FE24BC"/>
    <w:rsid w:val="00FF564E"/>
    <w:rsid w:val="00FF751B"/>
    <w:rsid w:val="00FF765E"/>
    <w:rsid w:val="02E903CF"/>
    <w:rsid w:val="0321400D"/>
    <w:rsid w:val="03604B36"/>
    <w:rsid w:val="041B0491"/>
    <w:rsid w:val="05F953B9"/>
    <w:rsid w:val="06F16DB8"/>
    <w:rsid w:val="08291F6C"/>
    <w:rsid w:val="094D2E4E"/>
    <w:rsid w:val="096F07A6"/>
    <w:rsid w:val="0A87168A"/>
    <w:rsid w:val="0E601E8E"/>
    <w:rsid w:val="0E990C33"/>
    <w:rsid w:val="0EEC3721"/>
    <w:rsid w:val="10454EB2"/>
    <w:rsid w:val="11496CA3"/>
    <w:rsid w:val="120642AA"/>
    <w:rsid w:val="12413D84"/>
    <w:rsid w:val="12D87DBC"/>
    <w:rsid w:val="132B728E"/>
    <w:rsid w:val="1410303C"/>
    <w:rsid w:val="1418251C"/>
    <w:rsid w:val="167157E7"/>
    <w:rsid w:val="16B707B5"/>
    <w:rsid w:val="18DC0363"/>
    <w:rsid w:val="1AD339E7"/>
    <w:rsid w:val="1B1262BE"/>
    <w:rsid w:val="1B7F0C9A"/>
    <w:rsid w:val="1BA54374"/>
    <w:rsid w:val="1BAF1D5E"/>
    <w:rsid w:val="1BB05AD7"/>
    <w:rsid w:val="1C0A5204"/>
    <w:rsid w:val="1C3C3FFF"/>
    <w:rsid w:val="1DDC1B7B"/>
    <w:rsid w:val="1DE2466D"/>
    <w:rsid w:val="1E931D7E"/>
    <w:rsid w:val="1F283650"/>
    <w:rsid w:val="1F4CD9F8"/>
    <w:rsid w:val="1F4F3A9C"/>
    <w:rsid w:val="204321B4"/>
    <w:rsid w:val="21B05702"/>
    <w:rsid w:val="22D81392"/>
    <w:rsid w:val="22E3246F"/>
    <w:rsid w:val="22E91530"/>
    <w:rsid w:val="23C94C24"/>
    <w:rsid w:val="249A4F6F"/>
    <w:rsid w:val="254F27AC"/>
    <w:rsid w:val="255045B2"/>
    <w:rsid w:val="255D2EC7"/>
    <w:rsid w:val="263E2860"/>
    <w:rsid w:val="26FEAFB4"/>
    <w:rsid w:val="28D251AE"/>
    <w:rsid w:val="2BEB7DCD"/>
    <w:rsid w:val="2C932954"/>
    <w:rsid w:val="2D2734E0"/>
    <w:rsid w:val="2E3138D0"/>
    <w:rsid w:val="2E68598C"/>
    <w:rsid w:val="2F034443"/>
    <w:rsid w:val="30103C94"/>
    <w:rsid w:val="302B1093"/>
    <w:rsid w:val="31140301"/>
    <w:rsid w:val="336C74AD"/>
    <w:rsid w:val="338D6211"/>
    <w:rsid w:val="33F6081B"/>
    <w:rsid w:val="34885085"/>
    <w:rsid w:val="351E2608"/>
    <w:rsid w:val="35367485"/>
    <w:rsid w:val="35DD3812"/>
    <w:rsid w:val="35FD4C96"/>
    <w:rsid w:val="36853990"/>
    <w:rsid w:val="36F34D9D"/>
    <w:rsid w:val="37BEC3F3"/>
    <w:rsid w:val="380D6333"/>
    <w:rsid w:val="3A9F4CC8"/>
    <w:rsid w:val="3ABE56C2"/>
    <w:rsid w:val="3B6E40F4"/>
    <w:rsid w:val="3BEAF8D9"/>
    <w:rsid w:val="3CD50DDE"/>
    <w:rsid w:val="3D803874"/>
    <w:rsid w:val="3DAA5315"/>
    <w:rsid w:val="3FF817A6"/>
    <w:rsid w:val="3FFE54B0"/>
    <w:rsid w:val="40177730"/>
    <w:rsid w:val="405012B5"/>
    <w:rsid w:val="41AF60FC"/>
    <w:rsid w:val="42497D9E"/>
    <w:rsid w:val="42BC5BD5"/>
    <w:rsid w:val="42D318D9"/>
    <w:rsid w:val="44DB2F09"/>
    <w:rsid w:val="45AB2395"/>
    <w:rsid w:val="45F12DF0"/>
    <w:rsid w:val="46081EE8"/>
    <w:rsid w:val="465E5148"/>
    <w:rsid w:val="47A041FD"/>
    <w:rsid w:val="47EA776D"/>
    <w:rsid w:val="486378A9"/>
    <w:rsid w:val="48D35212"/>
    <w:rsid w:val="4ABB5341"/>
    <w:rsid w:val="4AF64D96"/>
    <w:rsid w:val="4CC12F6F"/>
    <w:rsid w:val="4FEC03F4"/>
    <w:rsid w:val="5289335A"/>
    <w:rsid w:val="52AD6B4F"/>
    <w:rsid w:val="52F11F0E"/>
    <w:rsid w:val="53E03288"/>
    <w:rsid w:val="552612B5"/>
    <w:rsid w:val="56496B66"/>
    <w:rsid w:val="56554CD5"/>
    <w:rsid w:val="56BA7FCF"/>
    <w:rsid w:val="56C9013A"/>
    <w:rsid w:val="576EA80B"/>
    <w:rsid w:val="593990AA"/>
    <w:rsid w:val="598867AF"/>
    <w:rsid w:val="59A33501"/>
    <w:rsid w:val="5A035C0D"/>
    <w:rsid w:val="5AD703AE"/>
    <w:rsid w:val="5B060D24"/>
    <w:rsid w:val="5B3A1C60"/>
    <w:rsid w:val="5B9938B6"/>
    <w:rsid w:val="5BFF60D2"/>
    <w:rsid w:val="5C8207EE"/>
    <w:rsid w:val="5C855FEC"/>
    <w:rsid w:val="5D12780B"/>
    <w:rsid w:val="5DA53350"/>
    <w:rsid w:val="5DE0757A"/>
    <w:rsid w:val="5E211941"/>
    <w:rsid w:val="5E5A5C19"/>
    <w:rsid w:val="5E5F72E8"/>
    <w:rsid w:val="5E9D3CD1"/>
    <w:rsid w:val="5EFD0C50"/>
    <w:rsid w:val="5EFFE609"/>
    <w:rsid w:val="5FFA069B"/>
    <w:rsid w:val="60CA2A13"/>
    <w:rsid w:val="613B19A6"/>
    <w:rsid w:val="61B825BC"/>
    <w:rsid w:val="633D0FCB"/>
    <w:rsid w:val="64CB36D0"/>
    <w:rsid w:val="651B4973"/>
    <w:rsid w:val="653F232F"/>
    <w:rsid w:val="655FBBB3"/>
    <w:rsid w:val="65E8137A"/>
    <w:rsid w:val="65F41349"/>
    <w:rsid w:val="67043217"/>
    <w:rsid w:val="68071BDA"/>
    <w:rsid w:val="698B7754"/>
    <w:rsid w:val="6ACB6092"/>
    <w:rsid w:val="6B41595A"/>
    <w:rsid w:val="6C8704E9"/>
    <w:rsid w:val="6D31081B"/>
    <w:rsid w:val="6D641541"/>
    <w:rsid w:val="6D6E5723"/>
    <w:rsid w:val="6DB83505"/>
    <w:rsid w:val="6DE54739"/>
    <w:rsid w:val="6F3B4F58"/>
    <w:rsid w:val="6FF74883"/>
    <w:rsid w:val="70A34999"/>
    <w:rsid w:val="70EA235E"/>
    <w:rsid w:val="72A03324"/>
    <w:rsid w:val="735C21F5"/>
    <w:rsid w:val="74591FEB"/>
    <w:rsid w:val="746810EE"/>
    <w:rsid w:val="74B83489"/>
    <w:rsid w:val="75EE310A"/>
    <w:rsid w:val="77A11870"/>
    <w:rsid w:val="77BD3A0A"/>
    <w:rsid w:val="77F73E36"/>
    <w:rsid w:val="787168E2"/>
    <w:rsid w:val="7A7F6C60"/>
    <w:rsid w:val="7AB23BF5"/>
    <w:rsid w:val="7BA76747"/>
    <w:rsid w:val="7C0F2D5F"/>
    <w:rsid w:val="7CF76FD4"/>
    <w:rsid w:val="7CFAC4B2"/>
    <w:rsid w:val="7D8F9126"/>
    <w:rsid w:val="7EB25D41"/>
    <w:rsid w:val="7F582DCF"/>
    <w:rsid w:val="7FBDF17D"/>
    <w:rsid w:val="7FD378AF"/>
    <w:rsid w:val="9F3FEB02"/>
    <w:rsid w:val="B72DCB58"/>
    <w:rsid w:val="B7AB2C5B"/>
    <w:rsid w:val="BF27E49C"/>
    <w:rsid w:val="BFFF33FB"/>
    <w:rsid w:val="D7F75037"/>
    <w:rsid w:val="DAD55276"/>
    <w:rsid w:val="DDBB6D88"/>
    <w:rsid w:val="EBFB5A0F"/>
    <w:rsid w:val="EDEDF33E"/>
    <w:rsid w:val="EFB786F1"/>
    <w:rsid w:val="EFEFF414"/>
    <w:rsid w:val="F3FFF79F"/>
    <w:rsid w:val="F5F55051"/>
    <w:rsid w:val="FAFB05B4"/>
    <w:rsid w:val="FE35DA7C"/>
    <w:rsid w:val="FFADF7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rPr>
  </w:style>
  <w:style w:type="paragraph" w:styleId="3">
    <w:name w:val="Body Text"/>
    <w:basedOn w:val="1"/>
    <w:next w:val="4"/>
    <w:autoRedefine/>
    <w:qFormat/>
    <w:uiPriority w:val="0"/>
    <w:pPr>
      <w:spacing w:before="0" w:after="140" w:line="276" w:lineRule="auto"/>
    </w:pPr>
  </w:style>
  <w:style w:type="paragraph" w:customStyle="1" w:styleId="4">
    <w:name w:val="引用1"/>
    <w:next w:val="1"/>
    <w:autoRedefine/>
    <w:qFormat/>
    <w:uiPriority w:val="0"/>
    <w:pPr>
      <w:wordWrap w:val="0"/>
      <w:spacing w:before="200" w:after="160"/>
      <w:ind w:left="864" w:right="864"/>
      <w:jc w:val="center"/>
    </w:pPr>
    <w:rPr>
      <w:rFonts w:ascii="Times New Roman" w:hAnsi="Times New Roman" w:eastAsia="宋体" w:cs="Times New Roman"/>
      <w:i/>
      <w:sz w:val="21"/>
      <w:szCs w:val="20"/>
      <w:lang w:val="en-US" w:eastAsia="zh-CN" w:bidi="ar-SA"/>
    </w:rPr>
  </w:style>
  <w:style w:type="paragraph" w:styleId="5">
    <w:name w:val="Body Text Indent"/>
    <w:basedOn w:val="1"/>
    <w:qFormat/>
    <w:uiPriority w:val="0"/>
    <w:pPr>
      <w:spacing w:after="120"/>
      <w:ind w:left="420" w:leftChars="200"/>
    </w:pPr>
  </w:style>
  <w:style w:type="paragraph" w:styleId="6">
    <w:name w:val="Balloon Text"/>
    <w:basedOn w:val="1"/>
    <w:link w:val="20"/>
    <w:autoRedefine/>
    <w:unhideWhenUsed/>
    <w:qFormat/>
    <w:uiPriority w:val="99"/>
    <w:rPr>
      <w:sz w:val="18"/>
      <w:szCs w:val="18"/>
    </w:rPr>
  </w:style>
  <w:style w:type="paragraph" w:styleId="7">
    <w:name w:val="footer"/>
    <w:basedOn w:val="1"/>
    <w:next w:val="3"/>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99"/>
    <w:rPr>
      <w:rFonts w:ascii="Calibri" w:hAnsi="Calibri" w:eastAsia="宋体" w:cs="Times New Roman"/>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5"/>
    <w:qFormat/>
    <w:uiPriority w:val="0"/>
    <w:pPr>
      <w:ind w:firstLine="420" w:firstLineChars="200"/>
    </w:p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autoRedefine/>
    <w:qFormat/>
    <w:uiPriority w:val="99"/>
    <w:rPr>
      <w:rFonts w:cs="Times New Roman"/>
    </w:rPr>
  </w:style>
  <w:style w:type="paragraph" w:customStyle="1" w:styleId="16">
    <w:name w:val="BodyText1I2"/>
    <w:basedOn w:val="17"/>
    <w:autoRedefine/>
    <w:qFormat/>
    <w:uiPriority w:val="0"/>
    <w:pPr>
      <w:ind w:firstLine="200" w:firstLineChars="200"/>
    </w:pPr>
    <w:rPr>
      <w:rFonts w:ascii="Times New Roman" w:hAnsi="Times New Roman" w:eastAsia="宋体" w:cs="Times New Roman"/>
    </w:rPr>
  </w:style>
  <w:style w:type="paragraph" w:customStyle="1" w:styleId="17">
    <w:name w:val="BodyTextIndent"/>
    <w:basedOn w:val="1"/>
    <w:autoRedefine/>
    <w:qFormat/>
    <w:uiPriority w:val="0"/>
    <w:pPr>
      <w:spacing w:after="120"/>
      <w:ind w:left="200" w:leftChars="200"/>
    </w:pPr>
    <w:rPr>
      <w:rFonts w:ascii="Times New Roman" w:hAnsi="Times New Roman" w:eastAsia="宋体" w:cs="Times New Roman"/>
    </w:rPr>
  </w:style>
  <w:style w:type="character" w:customStyle="1" w:styleId="18">
    <w:name w:val="页眉 Char"/>
    <w:basedOn w:val="14"/>
    <w:link w:val="8"/>
    <w:autoRedefine/>
    <w:qFormat/>
    <w:uiPriority w:val="99"/>
    <w:rPr>
      <w:sz w:val="18"/>
      <w:szCs w:val="18"/>
    </w:rPr>
  </w:style>
  <w:style w:type="character" w:customStyle="1" w:styleId="19">
    <w:name w:val="页脚 Char"/>
    <w:basedOn w:val="14"/>
    <w:link w:val="7"/>
    <w:autoRedefine/>
    <w:qFormat/>
    <w:uiPriority w:val="99"/>
    <w:rPr>
      <w:sz w:val="18"/>
      <w:szCs w:val="18"/>
    </w:rPr>
  </w:style>
  <w:style w:type="character" w:customStyle="1" w:styleId="20">
    <w:name w:val="批注框文本 Char"/>
    <w:basedOn w:val="14"/>
    <w:link w:val="6"/>
    <w:autoRedefine/>
    <w:semiHidden/>
    <w:qFormat/>
    <w:uiPriority w:val="99"/>
    <w:rPr>
      <w:kern w:val="2"/>
      <w:sz w:val="18"/>
      <w:szCs w:val="18"/>
    </w:rPr>
  </w:style>
  <w:style w:type="character" w:customStyle="1" w:styleId="21">
    <w:name w:val="NormalCharacter"/>
    <w:link w:val="1"/>
    <w:autoRedefine/>
    <w:qFormat/>
    <w:uiPriority w:val="0"/>
    <w:rPr>
      <w:rFonts w:asciiTheme="minorHAnsi" w:hAnsiTheme="minorHAnsi" w:eastAsiaTheme="minorEastAsia" w:cstheme="minorBidi"/>
      <w:kern w:val="2"/>
      <w:sz w:val="21"/>
      <w:szCs w:val="22"/>
      <w:lang w:val="en-US" w:eastAsia="zh-CN" w:bidi="ar-SA"/>
    </w:rPr>
  </w:style>
  <w:style w:type="paragraph" w:customStyle="1" w:styleId="22">
    <w:name w:val="表格"/>
    <w:basedOn w:val="23"/>
    <w:next w:val="23"/>
    <w:qFormat/>
    <w:uiPriority w:val="0"/>
    <w:pPr>
      <w:spacing w:line="440" w:lineRule="exact"/>
      <w:ind w:firstLine="0" w:firstLineChars="0"/>
      <w:jc w:val="center"/>
    </w:pPr>
    <w:rPr>
      <w:rFonts w:eastAsia="宋体"/>
      <w:sz w:val="28"/>
    </w:rPr>
  </w:style>
  <w:style w:type="paragraph" w:customStyle="1" w:styleId="23">
    <w:name w:val="公文主体"/>
    <w:basedOn w:val="1"/>
    <w:qFormat/>
    <w:uiPriority w:val="0"/>
    <w:pPr>
      <w:spacing w:line="580" w:lineRule="exact"/>
      <w:ind w:firstLine="200" w:firstLineChars="200"/>
    </w:pPr>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7041</Words>
  <Characters>7092</Characters>
  <Lines>46</Lines>
  <Paragraphs>12</Paragraphs>
  <TotalTime>8</TotalTime>
  <ScaleCrop>false</ScaleCrop>
  <LinksUpToDate>false</LinksUpToDate>
  <CharactersWithSpaces>7157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2021-01-22T03:03:00Z</dcterms:created>
  <dc:creator>Administrator</dc:creator>
  <cp:lastModifiedBy>Administrator</cp:lastModifiedBy>
  <cp:lastPrinted>2024-06-03T03:09:00Z</cp:lastPrinted>
  <dcterms:modified xsi:type="dcterms:W3CDTF">2024-07-23T01:30:27Z</dcterms:modified>
  <cp:revision>626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2F9843955036458AB74F1BD102359CB6_13</vt:lpwstr>
  </property>
</Properties>
</file>