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2200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1812"/>
        <w:gridCol w:w="1850"/>
        <w:gridCol w:w="1782"/>
        <w:gridCol w:w="2133"/>
        <w:gridCol w:w="1944"/>
        <w:gridCol w:w="1296"/>
        <w:gridCol w:w="1404"/>
        <w:gridCol w:w="1229"/>
        <w:gridCol w:w="2187"/>
        <w:gridCol w:w="1755"/>
        <w:gridCol w:w="1539"/>
        <w:gridCol w:w="14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220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2024年文旅康养产业发展重点任务分解表（机关各股室、直属事业单位）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0"/>
                <w:snapToGrid w:val="0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11"/>
                <w:snapToGrid w:val="0"/>
                <w:color w:val="000000"/>
                <w:sz w:val="28"/>
                <w:szCs w:val="28"/>
                <w:lang w:val="en-US" w:eastAsia="zh-CN" w:bidi="ar"/>
              </w:rPr>
              <w:t>重点任务</w:t>
            </w:r>
            <w:r>
              <w:rPr>
                <w:rStyle w:val="10"/>
                <w:snapToGrid w:val="0"/>
                <w:color w:val="000000"/>
                <w:lang w:val="en-US" w:eastAsia="zh-CN" w:bidi="ar"/>
              </w:rPr>
              <w:t xml:space="preserve">                          </w:t>
            </w:r>
          </w:p>
        </w:tc>
        <w:tc>
          <w:tcPr>
            <w:tcW w:w="54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招商引资</w:t>
            </w:r>
          </w:p>
        </w:tc>
        <w:tc>
          <w:tcPr>
            <w:tcW w:w="5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项目建设</w:t>
            </w:r>
          </w:p>
        </w:tc>
        <w:tc>
          <w:tcPr>
            <w:tcW w:w="65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企业培育</w:t>
            </w:r>
          </w:p>
        </w:tc>
        <w:tc>
          <w:tcPr>
            <w:tcW w:w="3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文旅消费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目标企业            价值信息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招商工作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招引落地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储备项目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重点推进项目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资金争取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个转企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小升规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新增市场主体数量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文化、体育和娱乐业营业收入、工资总额GDP支撑指标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节庆展会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楷体_GBK" w:hAnsi="方正楷体_GBK" w:eastAsia="方正楷体_GBK" w:cs="方正楷体_GBK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促进消费措施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获取文化旅游产业投资有效信息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牵头筹备市级链长带队外出招商、推介等投资促进活动每季度不少于3次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全年招引落地项目5个以上，投资总额不低于10亿元。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储备项目每季度不低于5个且储备项目转开工的比例达到15%以上。全年储备音乐产业、体育产业、文创产业项目各1个以上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推进11个重点项目（3个省重文旅项目、5个市级产业链项目、2个县级重点项目）建设。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争取中省预算内资金、专项债项目1个以上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文化、体育和娱乐业全年完成个转企5家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文化及相关产业2家；文化、体育和娱乐业2家。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规下文化企业增长40%（对比第四次经济普查数据）；全年文化、体育和娱乐业市场主体（规下及个体）比2023年净增70家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每季度文化、体育和娱乐业营业性收入、劳动工资总额同比增速20%以上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举办高水平、综合性活动不少于5次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积极策划文体旅消费促进措施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产业发展股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7条（其中5亿元投资信息2条以上）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全年牵头筹备县级链长带队外出招商引资活动每季度不低于3次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招引项目3个以上，投资总额不低于5亿元。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每季度储备项目不低于3个且储备项目转开工的比例达到15%以上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推动全县11个省市县文旅重点项目加快推进。每季度对各县（区）、文旅新区项目工作推进情况进行通报。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争取中省预算内资金、专项债项目1个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2家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指导全县文体娱业规上企业营业收入、劳动工资发放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积极参加中国（四川）国际旅游投资大会、四川国际旅游交易博览会等投资大会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统筹协调全县发放文旅消费券200万元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文艺股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有效信息1条（包含不限于音乐、旅游演艺等相关产业）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开展招商引资活动1次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招引项目1个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储备音乐产业项目1个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举办文化和自然遗产日系列宣传展示活动、举办非遗直播购物节（自然遗产日或春节）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资源开发股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有效信息1条（包含不限于文化创意、景区建设等）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开展招商引资活动1次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招引项目1个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储备文创产业项目1个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napToGrid w:val="0"/>
                <w:color w:val="000000"/>
                <w:sz w:val="21"/>
                <w:szCs w:val="21"/>
                <w:lang w:val="en-US" w:eastAsia="zh-CN" w:bidi="ar"/>
              </w:rPr>
              <w:t>参加“巴人有礼”—泛巴区域文创集市展示展销、</w:t>
            </w:r>
            <w:r>
              <w:rPr>
                <w:rStyle w:val="13"/>
                <w:snapToGrid w:val="0"/>
                <w:color w:val="000000"/>
                <w:sz w:val="21"/>
                <w:szCs w:val="21"/>
                <w:lang w:val="en-US" w:eastAsia="zh-CN" w:bidi="ar"/>
              </w:rPr>
              <w:t>参加</w:t>
            </w:r>
            <w:r>
              <w:rPr>
                <w:rStyle w:val="12"/>
                <w:snapToGrid w:val="0"/>
                <w:color w:val="000000"/>
                <w:sz w:val="21"/>
                <w:szCs w:val="21"/>
                <w:lang w:val="en-US" w:eastAsia="zh-CN" w:bidi="ar"/>
              </w:rPr>
              <w:t>举办第五届“巴中有礼”文化旅游商品创意大赛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推出A级景区门票减免优惠活动。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体育股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7条（其中以上5亿元投资信息2条以上，包含不限于体育业等相关产业）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开展招商引资活动3次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招引项目1个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储备体育产业项目3个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争取中省预算内资金、专项债项目1个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市场化举办体育赛事活动2次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开展体育赛事进景区、社区、商圈活动10场次，体育彩票销售同比增长5%，体育综合经营收入同比增长10%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财务股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有效信息1条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做好招商引资后勤保障工作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做好对争取的项目资金使用情况全程监管、指导、绩效评价等工作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人事股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有效信息1条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做好招商引资工作人员保障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政策法规股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有效信息1条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开展招商引资活动1次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招引项目1个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储备文旅产业项目1个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开展促进文旅消费政策宣传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宣传推广股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有效信息1条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开展招商引资活动1次，文旅康养宣传推介3次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招引项目1个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储备文旅产业项目1个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市场化办好白衣油菜花赏花季、南天门“凤凰嘉年华”、三十二梁樱花季等各类文旅节会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高铁开通后，积极投放平昌文旅广告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公共服务股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有效信息1条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（包含不限于数字文旅等相关产业）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开展招商引资活动1次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招引项目1个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储备数字文旅产业项目1个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全县开展送文化下乡、送戏曲进乡村活动200余场次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市场管理股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有效信息1条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（包含不限于旅游住宿业）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开展招商引资活动1次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招引项目1个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储备旅游住宿业项目1个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5家（国民经济行业分类和代码R-88至90）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1家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全年文化、体育和娱乐业市场主体（规下及个体）比2023年净增70家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指导文体娱业样本单位劳动工资发放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开展维护消费市场秩序专项行动3次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广播电视股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有效信息1条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（包括不限于视听产业）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开展招商引资活动1次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招引项目1个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储备文旅、广播电视产业项目1个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机关党办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有效信息1条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联合办公室做好每季度对景区、股室招商引资工作落实情况的提示、督办、通报和考核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做好资金使用情况监管等工作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有效信息1条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开展招商引资活动1次，每季度对各景区、各股室、直属单位招商引资工作落实情况的提示、督办、通报和考核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招引项目1个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储备文旅康养产业项目1个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做好向上争取事项的全面统筹工作</w:t>
            </w:r>
          </w:p>
        </w:tc>
        <w:tc>
          <w:tcPr>
            <w:tcW w:w="65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每季度对各县（区）、各股室、直属单位市场主体培育工作落实情况进行提示、督办、通报、考核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做好节庆会展接待、后勤保障工作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做好促进消费后勤保障工作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执法大队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有效信息1条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开展招商引资活动1次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招引项目1个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2家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图书馆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有效信息1条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开展招商引资活动1次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招引项目1个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在旅游景区开展“巴山娃读经典”活动不少于4次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文化馆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有效信息1条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开展招商引资活动1次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招引项目1个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开展送文化进景区、园区、街区等活动不少于4次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美术馆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有效信息1条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开展招商引资活动1次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招引项目1个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开展美术书法现场展示、竞赛等活动2次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文物保护中心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有效信息1条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开展招商引资活动1次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招引项目1个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储备文保项目1个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争取中省预算内资金、专项债项目1个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textAlignment w:val="baseline"/>
        <w:rPr>
          <w:rFonts w:hint="default" w:ascii="Times New Roman" w:hAnsi="Times New Roman" w:eastAsia="仿宋_GB2312" w:cs="Times New Roman"/>
          <w:spacing w:val="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textAlignment w:val="baseline"/>
        <w:rPr>
          <w:rFonts w:hint="default" w:ascii="Times New Roman" w:hAnsi="Times New Roman" w:eastAsia="仿宋_GB2312" w:cs="Times New Roman"/>
          <w:spacing w:val="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textAlignment w:val="baseline"/>
        <w:rPr>
          <w:rFonts w:hint="default" w:ascii="Times New Roman" w:hAnsi="Times New Roman" w:eastAsia="仿宋_GB2312" w:cs="Times New Roman"/>
          <w:spacing w:val="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textAlignment w:val="baseline"/>
        <w:rPr>
          <w:rFonts w:hint="default" w:ascii="Times New Roman" w:hAnsi="Times New Roman" w:eastAsia="仿宋_GB2312" w:cs="Times New Roman"/>
          <w:spacing w:val="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textAlignment w:val="baseline"/>
        <w:rPr>
          <w:rFonts w:hint="default" w:ascii="Times New Roman" w:hAnsi="Times New Roman" w:eastAsia="仿宋_GB2312" w:cs="Times New Roman"/>
          <w:spacing w:val="12"/>
          <w:sz w:val="32"/>
          <w:szCs w:val="32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方正黑体_GBK" w:hAnsi="方正黑体_GBK" w:eastAsia="方正黑体_GBK" w:cs="方正黑体_GBK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footerReference r:id="rId5" w:type="default"/>
      <w:pgSz w:w="23811" w:h="16838" w:orient="landscape"/>
      <w:pgMar w:top="1633" w:right="1440" w:bottom="1633" w:left="1440" w:header="850" w:footer="992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OTJjZGU0OGE5MjllMDc4N2EzODM1ZTRkZThmMDI1ZjQifQ=="/>
  </w:docVars>
  <w:rsids>
    <w:rsidRoot w:val="00000000"/>
    <w:rsid w:val="03E5328D"/>
    <w:rsid w:val="07A21D95"/>
    <w:rsid w:val="080A1FB3"/>
    <w:rsid w:val="09275FFA"/>
    <w:rsid w:val="0D361C13"/>
    <w:rsid w:val="0D733638"/>
    <w:rsid w:val="17555989"/>
    <w:rsid w:val="1953481E"/>
    <w:rsid w:val="206F41B2"/>
    <w:rsid w:val="30396B48"/>
    <w:rsid w:val="3262184E"/>
    <w:rsid w:val="356814A4"/>
    <w:rsid w:val="3B3E0F44"/>
    <w:rsid w:val="46226EC1"/>
    <w:rsid w:val="53710152"/>
    <w:rsid w:val="5E18266F"/>
    <w:rsid w:val="62682234"/>
    <w:rsid w:val="70E37655"/>
    <w:rsid w:val="70E76902"/>
    <w:rsid w:val="73A23498"/>
    <w:rsid w:val="7400051E"/>
    <w:rsid w:val="753D6AD0"/>
    <w:rsid w:val="7DED3E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font21"/>
    <w:basedOn w:val="8"/>
    <w:qFormat/>
    <w:uiPriority w:val="0"/>
    <w:rPr>
      <w:rFonts w:hint="default" w:ascii="方正黑体_GBK" w:hAnsi="方正黑体_GBK" w:eastAsia="方正黑体_GBK" w:cs="方正黑体_GBK"/>
      <w:color w:val="000000"/>
      <w:sz w:val="32"/>
      <w:szCs w:val="32"/>
      <w:u w:val="none"/>
    </w:rPr>
  </w:style>
  <w:style w:type="character" w:customStyle="1" w:styleId="11">
    <w:name w:val="font51"/>
    <w:basedOn w:val="8"/>
    <w:qFormat/>
    <w:uiPriority w:val="0"/>
    <w:rPr>
      <w:rFonts w:hint="default" w:ascii="方正黑体_GBK" w:hAnsi="方正黑体_GBK" w:eastAsia="方正黑体_GBK" w:cs="方正黑体_GBK"/>
      <w:b/>
      <w:bCs/>
      <w:color w:val="000000"/>
      <w:sz w:val="32"/>
      <w:szCs w:val="32"/>
      <w:u w:val="none"/>
    </w:rPr>
  </w:style>
  <w:style w:type="character" w:customStyle="1" w:styleId="12">
    <w:name w:val="font8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101"/>
    <w:basedOn w:val="8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4">
    <w:name w:val="font9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161"/>
    <w:basedOn w:val="8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16">
    <w:name w:val="font12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0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8">
    <w:name w:val="font6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7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0">
    <w:name w:val="font131"/>
    <w:basedOn w:val="8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7063</Words>
  <Characters>7237</Characters>
  <TotalTime>10</TotalTime>
  <ScaleCrop>false</ScaleCrop>
  <LinksUpToDate>false</LinksUpToDate>
  <CharactersWithSpaces>7396</CharactersWithSpaces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2024-04-16T09:36:00Z</dcterms:created>
  <dc:creator>11</dc:creator>
  <cp:lastModifiedBy>小小角落</cp:lastModifiedBy>
  <cp:lastPrinted>2024-06-07T08:13:00Z</cp:lastPrinted>
  <dcterms:modified xsi:type="dcterms:W3CDTF">2024-07-05T07:44:52Z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2024-04-16T09:36:56Z</vt:filetime>
  </property>
  <property fmtid="{D5CDD505-2E9C-101B-9397-08002B2CF9AE}" pid="4" name="UsrData">
    <vt:lpwstr>661dd6335f7a9d001f552a17wl</vt:lpwstr>
  </property>
  <property fmtid="{D5CDD505-2E9C-101B-9397-08002B2CF9AE}" pid="5" name="KSOProductBuildVer">
    <vt:lpwstr>2052-12.1.0.15990</vt:lpwstr>
  </property>
  <property fmtid="{D5CDD505-2E9C-101B-9397-08002B2CF9AE}" pid="6" name="ICV">
    <vt:lpwstr>77679FA8F1B44208987BC9AA66AB91FD_13</vt:lpwstr>
  </property>
</Properties>
</file>