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pPr>
      <w:r>
        <w:drawing>
          <wp:anchor distT="0" distB="0" distL="114300" distR="114300" simplePos="0" relativeHeight="251665408" behindDoc="0" locked="0" layoutInCell="1" allowOverlap="1">
            <wp:simplePos x="0" y="0"/>
            <wp:positionH relativeFrom="column">
              <wp:posOffset>-1530985</wp:posOffset>
            </wp:positionH>
            <wp:positionV relativeFrom="paragraph">
              <wp:posOffset>40005</wp:posOffset>
            </wp:positionV>
            <wp:extent cx="7833360" cy="11059160"/>
            <wp:effectExtent l="0" t="0" r="15240" b="889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833360" cy="1105916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eastAsia="黑体"/>
          <w:color w:val="000000"/>
          <w:sz w:val="48"/>
          <w:szCs w:val="48"/>
        </w:rPr>
      </w:pPr>
      <w:r>
        <w:rPr>
          <w:rFonts w:eastAsia="黑体"/>
          <w:color w:val="000000"/>
          <w:sz w:val="48"/>
          <w:szCs w:val="48"/>
        </w:rPr>
        <w:t>目</w:t>
      </w:r>
      <w:r>
        <w:rPr>
          <w:rFonts w:hint="eastAsia" w:eastAsia="黑体"/>
          <w:color w:val="000000"/>
          <w:sz w:val="48"/>
          <w:szCs w:val="48"/>
          <w:lang w:val="en-US" w:eastAsia="zh-CN"/>
        </w:rPr>
        <w:t xml:space="preserve"> </w:t>
      </w:r>
      <w:r>
        <w:rPr>
          <w:rFonts w:eastAsia="黑体"/>
          <w:color w:val="000000"/>
          <w:sz w:val="48"/>
          <w:szCs w:val="48"/>
        </w:rPr>
        <w:t>录</w:t>
      </w:r>
    </w:p>
    <w:p>
      <w:pPr>
        <w:widowControl/>
        <w:spacing w:line="560" w:lineRule="exact"/>
        <w:jc w:val="center"/>
        <w:rPr>
          <w:rFonts w:eastAsia="黑体"/>
          <w:sz w:val="28"/>
          <w:szCs w:val="28"/>
        </w:rPr>
      </w:pPr>
      <w:r>
        <w:rPr>
          <w:rFonts w:eastAsia="黑体"/>
          <w:color w:val="000000"/>
          <w:sz w:val="48"/>
          <w:szCs w:val="48"/>
        </w:rPr>
        <w:fldChar w:fldCharType="begin"/>
      </w:r>
      <w:r>
        <w:rPr>
          <w:rFonts w:eastAsia="黑体"/>
          <w:color w:val="000000"/>
          <w:sz w:val="48"/>
          <w:szCs w:val="48"/>
        </w:rPr>
        <w:instrText xml:space="preserve"> TOC \o "1-2" \h \z \u </w:instrText>
      </w:r>
      <w:r>
        <w:rPr>
          <w:rFonts w:eastAsia="黑体"/>
          <w:color w:val="000000"/>
          <w:sz w:val="48"/>
          <w:szCs w:val="48"/>
        </w:rPr>
        <w:fldChar w:fldCharType="separate"/>
      </w:r>
    </w:p>
    <w:p>
      <w:pPr>
        <w:pStyle w:val="11"/>
        <w:spacing w:before="0" w:line="560" w:lineRule="exact"/>
        <w:rPr>
          <w:rFonts w:ascii="Times New Roman" w:hAnsi="Times New Roman"/>
        </w:rPr>
      </w:pPr>
      <w:r>
        <w:rPr>
          <w:rFonts w:ascii="Times New Roman" w:hAnsi="Times New Roman"/>
        </w:rPr>
        <w:t>公开时间：2</w:t>
      </w:r>
      <w:r>
        <w:rPr>
          <w:rFonts w:hint="eastAsia" w:ascii="Times New Roman" w:hAnsi="Times New Roman"/>
        </w:rPr>
        <w:t>021</w:t>
      </w:r>
      <w:r>
        <w:rPr>
          <w:rFonts w:ascii="Times New Roman" w:hAnsi="Times New Roman"/>
        </w:rPr>
        <w:t>年</w:t>
      </w:r>
      <w:r>
        <w:rPr>
          <w:rFonts w:hint="eastAsia" w:ascii="Times New Roman" w:hAnsi="Times New Roman"/>
        </w:rPr>
        <w:t>11</w:t>
      </w:r>
      <w:r>
        <w:rPr>
          <w:rFonts w:ascii="Times New Roman" w:hAnsi="Times New Roman"/>
        </w:rPr>
        <w:t>月</w:t>
      </w:r>
      <w:r>
        <w:rPr>
          <w:rFonts w:hint="eastAsia" w:ascii="Times New Roman" w:hAnsi="Times New Roman"/>
        </w:rPr>
        <w:t>10</w:t>
      </w:r>
      <w:r>
        <w:rPr>
          <w:rFonts w:ascii="Times New Roman" w:hAnsi="Times New Roman"/>
        </w:rPr>
        <w:t>日</w:t>
      </w:r>
    </w:p>
    <w:p>
      <w:pPr>
        <w:spacing w:line="560" w:lineRule="exact"/>
      </w:pPr>
    </w:p>
    <w:p>
      <w:pPr>
        <w:pStyle w:val="11"/>
        <w:spacing w:before="0" w:line="560" w:lineRule="exact"/>
        <w:rPr>
          <w:rFonts w:ascii="Times New Roman" w:hAnsi="Times New Roman"/>
        </w:rPr>
      </w:pPr>
      <w:r>
        <w:fldChar w:fldCharType="begin"/>
      </w:r>
      <w:r>
        <w:instrText xml:space="preserve"> HYPERLINK \l "_Toc15396599" </w:instrText>
      </w:r>
      <w:r>
        <w:fldChar w:fldCharType="separate"/>
      </w:r>
      <w:r>
        <w:rPr>
          <w:rStyle w:val="17"/>
          <w:rFonts w:ascii="Times New Roman" w:hAnsi="Times New Roman"/>
        </w:rPr>
        <w:t>第一部分 部门概况</w:t>
      </w:r>
      <w:r>
        <w:rPr>
          <w:rFonts w:ascii="Times New Roman" w:hAnsi="Times New Roman"/>
        </w:rPr>
        <w:tab/>
      </w:r>
      <w:r>
        <w:rPr>
          <w:rFonts w:ascii="Times New Roman" w:hAnsi="Times New Roman"/>
        </w:rPr>
        <w:t>4</w:t>
      </w:r>
      <w:r>
        <w:rPr>
          <w:rFonts w:ascii="Times New Roman" w:hAnsi="Times New Roman"/>
        </w:rPr>
        <w:fldChar w:fldCharType="end"/>
      </w:r>
    </w:p>
    <w:p>
      <w:pPr>
        <w:pStyle w:val="12"/>
        <w:spacing w:line="560" w:lineRule="exact"/>
        <w:rPr>
          <w:rFonts w:eastAsia="仿宋"/>
          <w:sz w:val="28"/>
          <w:szCs w:val="28"/>
        </w:rPr>
      </w:pPr>
      <w:r>
        <w:fldChar w:fldCharType="begin"/>
      </w:r>
      <w:r>
        <w:instrText xml:space="preserve"> HYPERLINK \l "_Toc15396600" </w:instrText>
      </w:r>
      <w:r>
        <w:fldChar w:fldCharType="separate"/>
      </w:r>
      <w:r>
        <w:rPr>
          <w:rStyle w:val="17"/>
          <w:rFonts w:eastAsia="仿宋"/>
          <w:sz w:val="28"/>
          <w:szCs w:val="28"/>
        </w:rPr>
        <w:t>一、基本职能及主要工作</w:t>
      </w:r>
      <w:r>
        <w:rPr>
          <w:rStyle w:val="17"/>
          <w:rFonts w:hint="eastAsia" w:eastAsia="仿宋"/>
          <w:sz w:val="28"/>
          <w:szCs w:val="28"/>
        </w:rPr>
        <w:t>...................................................................</w:t>
      </w:r>
      <w:r>
        <w:rPr>
          <w:rFonts w:eastAsia="仿宋"/>
          <w:sz w:val="28"/>
          <w:szCs w:val="28"/>
        </w:rPr>
        <w:t>4</w:t>
      </w:r>
      <w:r>
        <w:rPr>
          <w:rFonts w:eastAsia="仿宋"/>
          <w:sz w:val="28"/>
          <w:szCs w:val="28"/>
        </w:rPr>
        <w:fldChar w:fldCharType="end"/>
      </w:r>
    </w:p>
    <w:p>
      <w:pPr>
        <w:pStyle w:val="12"/>
        <w:spacing w:line="560" w:lineRule="exact"/>
        <w:rPr>
          <w:rFonts w:eastAsia="仿宋"/>
          <w:sz w:val="28"/>
          <w:szCs w:val="28"/>
        </w:rPr>
      </w:pPr>
      <w:r>
        <w:fldChar w:fldCharType="begin"/>
      </w:r>
      <w:r>
        <w:instrText xml:space="preserve"> HYPERLINK \l "_Toc15396601" </w:instrText>
      </w:r>
      <w:r>
        <w:fldChar w:fldCharType="separate"/>
      </w:r>
      <w:r>
        <w:rPr>
          <w:rStyle w:val="17"/>
          <w:rFonts w:eastAsia="仿宋"/>
          <w:sz w:val="28"/>
          <w:szCs w:val="28"/>
        </w:rPr>
        <w:t>二、机构设置</w:t>
      </w:r>
      <w:r>
        <w:rPr>
          <w:rFonts w:eastAsia="仿宋"/>
          <w:sz w:val="28"/>
          <w:szCs w:val="28"/>
        </w:rPr>
        <w:tab/>
      </w:r>
      <w:r>
        <w:rPr>
          <w:rFonts w:hint="eastAsia" w:eastAsia="仿宋"/>
          <w:sz w:val="28"/>
          <w:szCs w:val="28"/>
          <w:lang w:val="en-US" w:eastAsia="zh-CN"/>
        </w:rPr>
        <w:t>7</w:t>
      </w:r>
      <w:r>
        <w:rPr>
          <w:rFonts w:hint="eastAsia" w:eastAsia="仿宋"/>
          <w:sz w:val="28"/>
          <w:szCs w:val="28"/>
        </w:rPr>
        <w:fldChar w:fldCharType="end"/>
      </w:r>
    </w:p>
    <w:p>
      <w:pPr>
        <w:pStyle w:val="11"/>
        <w:spacing w:before="0" w:line="560" w:lineRule="exact"/>
        <w:rPr>
          <w:rFonts w:ascii="Times New Roman" w:hAnsi="Times New Roman"/>
        </w:rPr>
      </w:pPr>
      <w:r>
        <w:fldChar w:fldCharType="begin"/>
      </w:r>
      <w:r>
        <w:instrText xml:space="preserve"> HYPERLINK \l "_Toc15396602" </w:instrText>
      </w:r>
      <w:r>
        <w:fldChar w:fldCharType="separate"/>
      </w:r>
      <w:r>
        <w:rPr>
          <w:rStyle w:val="17"/>
          <w:rFonts w:ascii="Times New Roman" w:hAnsi="Times New Roman"/>
        </w:rPr>
        <w:t>第二部分 2020年度部门决算</w:t>
      </w:r>
      <w:r>
        <w:rPr>
          <w:rStyle w:val="17"/>
          <w:rFonts w:hint="eastAsia" w:ascii="Times New Roman" w:hAnsi="Times New Roman"/>
        </w:rPr>
        <w:t>编制</w:t>
      </w:r>
      <w:r>
        <w:rPr>
          <w:rStyle w:val="17"/>
          <w:rFonts w:ascii="Times New Roman" w:hAnsi="Times New Roman"/>
        </w:rPr>
        <w:t>说明</w:t>
      </w:r>
      <w:r>
        <w:rPr>
          <w:rFonts w:ascii="Times New Roman" w:hAnsi="Times New Roman"/>
        </w:rPr>
        <w:tab/>
      </w:r>
      <w:r>
        <w:rPr>
          <w:rFonts w:hint="eastAsia" w:ascii="Times New Roman" w:hAnsi="Times New Roman"/>
        </w:rPr>
        <w:t>7</w:t>
      </w:r>
      <w:r>
        <w:rPr>
          <w:rFonts w:hint="eastAsia" w:ascii="Times New Roman" w:hAnsi="Times New Roman"/>
        </w:rPr>
        <w:fldChar w:fldCharType="end"/>
      </w:r>
    </w:p>
    <w:p>
      <w:pPr>
        <w:pStyle w:val="12"/>
        <w:spacing w:line="560" w:lineRule="exact"/>
        <w:rPr>
          <w:rFonts w:eastAsia="仿宋"/>
          <w:sz w:val="28"/>
          <w:szCs w:val="28"/>
        </w:rPr>
      </w:pPr>
      <w:r>
        <w:fldChar w:fldCharType="begin"/>
      </w:r>
      <w:r>
        <w:instrText xml:space="preserve"> HYPERLINK \l "_Toc15396603" </w:instrText>
      </w:r>
      <w:r>
        <w:fldChar w:fldCharType="separate"/>
      </w:r>
      <w:r>
        <w:rPr>
          <w:rStyle w:val="17"/>
          <w:rFonts w:eastAsia="仿宋"/>
          <w:bCs/>
          <w:sz w:val="28"/>
          <w:szCs w:val="28"/>
        </w:rPr>
        <w:t>一、</w:t>
      </w:r>
      <w:r>
        <w:rPr>
          <w:rStyle w:val="17"/>
          <w:rFonts w:eastAsia="仿宋"/>
          <w:sz w:val="28"/>
          <w:szCs w:val="28"/>
        </w:rPr>
        <w:t>收</w:t>
      </w:r>
      <w:r>
        <w:rPr>
          <w:rStyle w:val="17"/>
          <w:rFonts w:eastAsia="仿宋"/>
          <w:bCs/>
          <w:sz w:val="28"/>
          <w:szCs w:val="28"/>
        </w:rPr>
        <w:t>入支出决算总体情况说明</w:t>
      </w:r>
      <w:r>
        <w:rPr>
          <w:rFonts w:eastAsia="仿宋"/>
          <w:sz w:val="28"/>
          <w:szCs w:val="28"/>
        </w:rPr>
        <w:tab/>
      </w:r>
      <w:r>
        <w:rPr>
          <w:rFonts w:hint="eastAsia" w:eastAsia="仿宋"/>
          <w:sz w:val="28"/>
          <w:szCs w:val="28"/>
        </w:rPr>
        <w:t>7</w:t>
      </w:r>
      <w:r>
        <w:rPr>
          <w:rFonts w:hint="eastAsia" w:eastAsia="仿宋"/>
          <w:sz w:val="28"/>
          <w:szCs w:val="28"/>
        </w:rPr>
        <w:fldChar w:fldCharType="end"/>
      </w:r>
    </w:p>
    <w:p>
      <w:pPr>
        <w:pStyle w:val="12"/>
        <w:spacing w:line="560" w:lineRule="exact"/>
        <w:rPr>
          <w:rFonts w:eastAsia="仿宋"/>
          <w:sz w:val="28"/>
          <w:szCs w:val="28"/>
        </w:rPr>
      </w:pPr>
      <w:r>
        <w:fldChar w:fldCharType="begin"/>
      </w:r>
      <w:r>
        <w:instrText xml:space="preserve"> HYPERLINK \l "_Toc15396604" </w:instrText>
      </w:r>
      <w:r>
        <w:fldChar w:fldCharType="separate"/>
      </w:r>
      <w:r>
        <w:rPr>
          <w:rStyle w:val="17"/>
          <w:rFonts w:eastAsia="仿宋"/>
          <w:bCs/>
          <w:sz w:val="28"/>
          <w:szCs w:val="28"/>
        </w:rPr>
        <w:t>二、</w:t>
      </w:r>
      <w:r>
        <w:rPr>
          <w:rStyle w:val="17"/>
          <w:rFonts w:eastAsia="仿宋"/>
          <w:sz w:val="28"/>
          <w:szCs w:val="28"/>
        </w:rPr>
        <w:t>收</w:t>
      </w:r>
      <w:r>
        <w:rPr>
          <w:rStyle w:val="17"/>
          <w:rFonts w:eastAsia="仿宋"/>
          <w:bCs/>
          <w:sz w:val="28"/>
          <w:szCs w:val="28"/>
        </w:rPr>
        <w:t>入决算情况说明</w:t>
      </w:r>
      <w:r>
        <w:rPr>
          <w:rFonts w:eastAsia="仿宋"/>
          <w:sz w:val="28"/>
          <w:szCs w:val="28"/>
        </w:rPr>
        <w:tab/>
      </w:r>
      <w:r>
        <w:rPr>
          <w:rFonts w:hint="eastAsia" w:eastAsia="仿宋"/>
          <w:sz w:val="28"/>
          <w:szCs w:val="28"/>
          <w:lang w:val="en-US" w:eastAsia="zh-CN"/>
        </w:rPr>
        <w:t>8</w:t>
      </w:r>
      <w:r>
        <w:rPr>
          <w:rFonts w:hint="eastAsia" w:eastAsia="仿宋"/>
          <w:sz w:val="28"/>
          <w:szCs w:val="28"/>
        </w:rPr>
        <w:fldChar w:fldCharType="end"/>
      </w:r>
    </w:p>
    <w:p>
      <w:pPr>
        <w:pStyle w:val="12"/>
        <w:spacing w:line="560" w:lineRule="exact"/>
        <w:rPr>
          <w:rFonts w:eastAsia="仿宋"/>
          <w:sz w:val="28"/>
          <w:szCs w:val="28"/>
        </w:rPr>
      </w:pPr>
      <w:r>
        <w:fldChar w:fldCharType="begin"/>
      </w:r>
      <w:r>
        <w:instrText xml:space="preserve"> HYPERLINK \l "_Toc15396605" </w:instrText>
      </w:r>
      <w:r>
        <w:fldChar w:fldCharType="separate"/>
      </w:r>
      <w:r>
        <w:rPr>
          <w:rStyle w:val="17"/>
          <w:rFonts w:eastAsia="仿宋"/>
          <w:bCs/>
          <w:sz w:val="28"/>
          <w:szCs w:val="28"/>
        </w:rPr>
        <w:t>三、</w:t>
      </w:r>
      <w:r>
        <w:rPr>
          <w:rStyle w:val="17"/>
          <w:rFonts w:eastAsia="仿宋"/>
          <w:sz w:val="28"/>
          <w:szCs w:val="28"/>
        </w:rPr>
        <w:t>支</w:t>
      </w:r>
      <w:r>
        <w:rPr>
          <w:rStyle w:val="17"/>
          <w:rFonts w:eastAsia="仿宋"/>
          <w:bCs/>
          <w:sz w:val="28"/>
          <w:szCs w:val="28"/>
        </w:rPr>
        <w:t>出决算情况说明</w:t>
      </w:r>
      <w:r>
        <w:rPr>
          <w:rFonts w:eastAsia="仿宋"/>
          <w:sz w:val="28"/>
          <w:szCs w:val="28"/>
        </w:rPr>
        <w:tab/>
      </w:r>
      <w:r>
        <w:rPr>
          <w:rFonts w:hint="eastAsia" w:eastAsia="仿宋"/>
          <w:sz w:val="28"/>
          <w:szCs w:val="28"/>
          <w:lang w:val="en-US" w:eastAsia="zh-CN"/>
        </w:rPr>
        <w:t>8</w:t>
      </w:r>
      <w:r>
        <w:rPr>
          <w:rFonts w:hint="eastAsia" w:eastAsia="仿宋"/>
          <w:sz w:val="28"/>
          <w:szCs w:val="28"/>
        </w:rPr>
        <w:fldChar w:fldCharType="end"/>
      </w:r>
    </w:p>
    <w:p>
      <w:pPr>
        <w:pStyle w:val="12"/>
        <w:spacing w:line="560" w:lineRule="exact"/>
        <w:rPr>
          <w:rFonts w:eastAsia="仿宋"/>
          <w:sz w:val="28"/>
          <w:szCs w:val="28"/>
        </w:rPr>
      </w:pPr>
      <w:r>
        <w:fldChar w:fldCharType="begin"/>
      </w:r>
      <w:r>
        <w:instrText xml:space="preserve"> HYPERLINK \l "_Toc15396606" </w:instrText>
      </w:r>
      <w:r>
        <w:fldChar w:fldCharType="separate"/>
      </w:r>
      <w:r>
        <w:rPr>
          <w:rStyle w:val="17"/>
          <w:rFonts w:eastAsia="仿宋"/>
          <w:sz w:val="28"/>
          <w:szCs w:val="28"/>
        </w:rPr>
        <w:t>四、财</w:t>
      </w:r>
      <w:r>
        <w:rPr>
          <w:rStyle w:val="17"/>
          <w:rFonts w:eastAsia="仿宋"/>
          <w:bCs/>
          <w:sz w:val="28"/>
          <w:szCs w:val="28"/>
        </w:rPr>
        <w:t>政拨款收入支出决算总体情况说明</w:t>
      </w:r>
      <w:r>
        <w:rPr>
          <w:rFonts w:eastAsia="仿宋"/>
          <w:sz w:val="28"/>
          <w:szCs w:val="28"/>
        </w:rPr>
        <w:tab/>
      </w:r>
      <w:r>
        <w:rPr>
          <w:rFonts w:hint="eastAsia" w:eastAsia="仿宋"/>
          <w:sz w:val="28"/>
          <w:szCs w:val="28"/>
          <w:lang w:val="en-US" w:eastAsia="zh-CN"/>
        </w:rPr>
        <w:t>9</w:t>
      </w:r>
      <w:r>
        <w:rPr>
          <w:rFonts w:hint="eastAsia" w:eastAsia="仿宋"/>
          <w:sz w:val="28"/>
          <w:szCs w:val="28"/>
        </w:rPr>
        <w:fldChar w:fldCharType="end"/>
      </w:r>
    </w:p>
    <w:p>
      <w:pPr>
        <w:pStyle w:val="12"/>
        <w:spacing w:line="560" w:lineRule="exact"/>
        <w:rPr>
          <w:rFonts w:eastAsia="仿宋"/>
          <w:sz w:val="28"/>
          <w:szCs w:val="28"/>
        </w:rPr>
      </w:pPr>
      <w:r>
        <w:fldChar w:fldCharType="begin"/>
      </w:r>
      <w:r>
        <w:instrText xml:space="preserve"> HYPERLINK \l "_Toc15396607" </w:instrText>
      </w:r>
      <w:r>
        <w:fldChar w:fldCharType="separate"/>
      </w:r>
      <w:r>
        <w:rPr>
          <w:rStyle w:val="17"/>
          <w:rFonts w:eastAsia="仿宋"/>
          <w:sz w:val="28"/>
          <w:szCs w:val="28"/>
        </w:rPr>
        <w:t>五、一</w:t>
      </w:r>
      <w:r>
        <w:rPr>
          <w:rStyle w:val="17"/>
          <w:rFonts w:eastAsia="仿宋"/>
          <w:bCs/>
          <w:sz w:val="28"/>
          <w:szCs w:val="28"/>
        </w:rPr>
        <w:t>般公共预算财政拨款支出决算情况说明</w:t>
      </w:r>
      <w:r>
        <w:rPr>
          <w:rFonts w:eastAsia="仿宋"/>
          <w:sz w:val="28"/>
          <w:szCs w:val="28"/>
        </w:rPr>
        <w:tab/>
      </w:r>
      <w:r>
        <w:rPr>
          <w:rFonts w:hint="eastAsia" w:eastAsia="仿宋"/>
          <w:sz w:val="28"/>
          <w:szCs w:val="28"/>
          <w:lang w:val="en-US" w:eastAsia="zh-CN"/>
        </w:rPr>
        <w:t>9</w:t>
      </w:r>
      <w:r>
        <w:rPr>
          <w:rFonts w:hint="eastAsia" w:eastAsia="仿宋"/>
          <w:sz w:val="28"/>
          <w:szCs w:val="28"/>
        </w:rPr>
        <w:fldChar w:fldCharType="end"/>
      </w:r>
    </w:p>
    <w:p>
      <w:pPr>
        <w:pStyle w:val="12"/>
        <w:spacing w:line="560" w:lineRule="exact"/>
        <w:rPr>
          <w:rFonts w:hint="eastAsia" w:eastAsia="仿宋"/>
          <w:sz w:val="28"/>
          <w:szCs w:val="28"/>
          <w:lang w:val="en-US" w:eastAsia="zh-CN"/>
        </w:rPr>
      </w:pPr>
      <w:r>
        <w:fldChar w:fldCharType="begin"/>
      </w:r>
      <w:r>
        <w:instrText xml:space="preserve"> HYPERLINK \l "_Toc15396608" </w:instrText>
      </w:r>
      <w:r>
        <w:fldChar w:fldCharType="separate"/>
      </w:r>
      <w:r>
        <w:rPr>
          <w:rStyle w:val="17"/>
          <w:rFonts w:eastAsia="仿宋"/>
          <w:sz w:val="28"/>
          <w:szCs w:val="28"/>
        </w:rPr>
        <w:t>六、一</w:t>
      </w:r>
      <w:r>
        <w:rPr>
          <w:rStyle w:val="17"/>
          <w:rFonts w:eastAsia="仿宋"/>
          <w:bCs/>
          <w:sz w:val="28"/>
          <w:szCs w:val="28"/>
        </w:rPr>
        <w:t>般公共预算财政拨款基本支出决算情况说明</w:t>
      </w:r>
      <w:r>
        <w:rPr>
          <w:rFonts w:eastAsia="仿宋"/>
          <w:sz w:val="28"/>
          <w:szCs w:val="28"/>
        </w:rPr>
        <w:tab/>
      </w:r>
      <w:r>
        <w:rPr>
          <w:rFonts w:hint="eastAsia" w:eastAsia="仿宋"/>
          <w:sz w:val="28"/>
          <w:szCs w:val="28"/>
          <w:lang w:val="en-US" w:eastAsia="zh-CN"/>
        </w:rPr>
        <w:t>1</w:t>
      </w:r>
      <w:r>
        <w:rPr>
          <w:rFonts w:hint="eastAsia" w:eastAsia="仿宋"/>
          <w:sz w:val="28"/>
          <w:szCs w:val="28"/>
        </w:rPr>
        <w:fldChar w:fldCharType="end"/>
      </w:r>
      <w:r>
        <w:rPr>
          <w:rFonts w:hint="eastAsia" w:eastAsia="仿宋"/>
          <w:sz w:val="28"/>
          <w:szCs w:val="28"/>
          <w:lang w:val="en-US" w:eastAsia="zh-CN"/>
        </w:rPr>
        <w:t>1</w:t>
      </w:r>
    </w:p>
    <w:p>
      <w:pPr>
        <w:pStyle w:val="12"/>
        <w:spacing w:line="560" w:lineRule="exact"/>
        <w:rPr>
          <w:rFonts w:hint="eastAsia" w:eastAsia="仿宋"/>
          <w:sz w:val="28"/>
          <w:szCs w:val="28"/>
          <w:lang w:val="en-US" w:eastAsia="zh-CN"/>
        </w:rPr>
      </w:pPr>
      <w:r>
        <w:fldChar w:fldCharType="begin"/>
      </w:r>
      <w:r>
        <w:instrText xml:space="preserve"> HYPERLINK \l "_Toc15396609" </w:instrText>
      </w:r>
      <w:r>
        <w:fldChar w:fldCharType="separate"/>
      </w:r>
      <w:r>
        <w:rPr>
          <w:rStyle w:val="17"/>
          <w:rFonts w:eastAsia="仿宋"/>
          <w:sz w:val="28"/>
          <w:szCs w:val="28"/>
        </w:rPr>
        <w:t>七、“</w:t>
      </w:r>
      <w:r>
        <w:rPr>
          <w:rStyle w:val="17"/>
          <w:rFonts w:eastAsia="仿宋"/>
          <w:bCs/>
          <w:sz w:val="28"/>
          <w:szCs w:val="28"/>
        </w:rPr>
        <w:t>三公”经费财政拨款支出决算情况说明</w:t>
      </w:r>
      <w:r>
        <w:rPr>
          <w:rFonts w:eastAsia="仿宋"/>
          <w:sz w:val="28"/>
          <w:szCs w:val="28"/>
        </w:rPr>
        <w:tab/>
      </w:r>
      <w:r>
        <w:rPr>
          <w:rFonts w:hint="eastAsia" w:eastAsia="仿宋"/>
          <w:sz w:val="28"/>
          <w:szCs w:val="28"/>
          <w:lang w:val="en-US" w:eastAsia="zh-CN"/>
        </w:rPr>
        <w:t>1</w:t>
      </w:r>
      <w:r>
        <w:rPr>
          <w:rFonts w:hint="eastAsia" w:eastAsia="仿宋"/>
          <w:sz w:val="28"/>
          <w:szCs w:val="28"/>
        </w:rPr>
        <w:fldChar w:fldCharType="end"/>
      </w:r>
      <w:r>
        <w:rPr>
          <w:rFonts w:hint="eastAsia" w:eastAsia="仿宋"/>
          <w:sz w:val="28"/>
          <w:szCs w:val="28"/>
          <w:lang w:val="en-US" w:eastAsia="zh-CN"/>
        </w:rPr>
        <w:t>2</w:t>
      </w:r>
    </w:p>
    <w:p>
      <w:pPr>
        <w:pStyle w:val="12"/>
        <w:spacing w:line="560" w:lineRule="exact"/>
        <w:rPr>
          <w:rFonts w:eastAsia="仿宋"/>
          <w:sz w:val="28"/>
          <w:szCs w:val="28"/>
        </w:rPr>
      </w:pPr>
      <w:r>
        <w:fldChar w:fldCharType="begin"/>
      </w:r>
      <w:r>
        <w:instrText xml:space="preserve"> HYPERLINK \l "_Toc15396610" </w:instrText>
      </w:r>
      <w:r>
        <w:fldChar w:fldCharType="separate"/>
      </w:r>
      <w:r>
        <w:rPr>
          <w:rStyle w:val="17"/>
          <w:rFonts w:eastAsia="仿宋"/>
          <w:sz w:val="28"/>
          <w:szCs w:val="28"/>
        </w:rPr>
        <w:t>八、</w:t>
      </w:r>
      <w:r>
        <w:rPr>
          <w:rStyle w:val="17"/>
          <w:rFonts w:eastAsia="仿宋"/>
          <w:bCs/>
          <w:sz w:val="28"/>
          <w:szCs w:val="28"/>
        </w:rPr>
        <w:t>政府性基金预算支出决算情况说明</w:t>
      </w:r>
      <w:r>
        <w:rPr>
          <w:rFonts w:eastAsia="仿宋"/>
          <w:sz w:val="28"/>
          <w:szCs w:val="28"/>
        </w:rPr>
        <w:tab/>
      </w:r>
      <w:r>
        <w:rPr>
          <w:rFonts w:eastAsia="仿宋"/>
          <w:sz w:val="28"/>
          <w:szCs w:val="28"/>
        </w:rPr>
        <w:fldChar w:fldCharType="begin"/>
      </w:r>
      <w:r>
        <w:rPr>
          <w:rFonts w:eastAsia="仿宋"/>
          <w:sz w:val="28"/>
          <w:szCs w:val="28"/>
        </w:rPr>
        <w:instrText xml:space="preserve"> PAGEREF _Toc15396610 \h </w:instrText>
      </w:r>
      <w:r>
        <w:rPr>
          <w:rFonts w:eastAsia="仿宋"/>
          <w:sz w:val="28"/>
          <w:szCs w:val="28"/>
        </w:rPr>
        <w:fldChar w:fldCharType="separate"/>
      </w:r>
      <w:r>
        <w:rPr>
          <w:rFonts w:eastAsia="仿宋"/>
          <w:sz w:val="28"/>
          <w:szCs w:val="28"/>
        </w:rPr>
        <w:t>12</w:t>
      </w:r>
      <w:r>
        <w:rPr>
          <w:rFonts w:eastAsia="仿宋"/>
          <w:sz w:val="28"/>
          <w:szCs w:val="28"/>
        </w:rPr>
        <w:fldChar w:fldCharType="end"/>
      </w:r>
      <w:r>
        <w:rPr>
          <w:rFonts w:eastAsia="仿宋"/>
          <w:sz w:val="28"/>
          <w:szCs w:val="28"/>
        </w:rPr>
        <w:fldChar w:fldCharType="end"/>
      </w:r>
    </w:p>
    <w:p>
      <w:pPr>
        <w:pStyle w:val="12"/>
        <w:spacing w:line="560" w:lineRule="exact"/>
      </w:pPr>
      <w:r>
        <w:fldChar w:fldCharType="begin"/>
      </w:r>
      <w:r>
        <w:instrText xml:space="preserve"> HYPERLINK \l "_Toc15396611" </w:instrText>
      </w:r>
      <w:r>
        <w:fldChar w:fldCharType="separate"/>
      </w:r>
      <w:r>
        <w:rPr>
          <w:rStyle w:val="17"/>
          <w:rFonts w:eastAsia="仿宋"/>
          <w:bCs/>
          <w:sz w:val="28"/>
          <w:szCs w:val="28"/>
        </w:rPr>
        <w:t>九、</w:t>
      </w:r>
      <w:r>
        <w:rPr>
          <w:rStyle w:val="17"/>
          <w:rFonts w:eastAsia="仿宋"/>
          <w:sz w:val="28"/>
          <w:szCs w:val="28"/>
        </w:rPr>
        <w:t xml:space="preserve"> 国</w:t>
      </w:r>
      <w:r>
        <w:rPr>
          <w:rStyle w:val="17"/>
          <w:rFonts w:eastAsia="仿宋"/>
          <w:bCs/>
          <w:sz w:val="28"/>
          <w:szCs w:val="28"/>
        </w:rPr>
        <w:t>有资本经营预算支出决算情况说明</w:t>
      </w:r>
      <w:r>
        <w:rPr>
          <w:rFonts w:eastAsia="仿宋"/>
          <w:sz w:val="28"/>
          <w:szCs w:val="28"/>
        </w:rPr>
        <w:tab/>
      </w:r>
      <w:r>
        <w:rPr>
          <w:rFonts w:eastAsia="仿宋"/>
          <w:sz w:val="28"/>
          <w:szCs w:val="28"/>
        </w:rPr>
        <w:fldChar w:fldCharType="begin"/>
      </w:r>
      <w:r>
        <w:rPr>
          <w:rFonts w:eastAsia="仿宋"/>
          <w:sz w:val="28"/>
          <w:szCs w:val="28"/>
        </w:rPr>
        <w:instrText xml:space="preserve"> PAGEREF _Toc15396611 \h </w:instrText>
      </w:r>
      <w:r>
        <w:rPr>
          <w:rFonts w:eastAsia="仿宋"/>
          <w:sz w:val="28"/>
          <w:szCs w:val="28"/>
        </w:rPr>
        <w:fldChar w:fldCharType="separate"/>
      </w:r>
      <w:r>
        <w:rPr>
          <w:rFonts w:eastAsia="仿宋"/>
          <w:sz w:val="28"/>
          <w:szCs w:val="28"/>
        </w:rPr>
        <w:t>14</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fldChar w:fldCharType="begin"/>
      </w:r>
      <w:r>
        <w:instrText xml:space="preserve"> HYPERLINK \l "_Toc15396612" </w:instrText>
      </w:r>
      <w:r>
        <w:fldChar w:fldCharType="separate"/>
      </w:r>
      <w:r>
        <w:rPr>
          <w:rStyle w:val="17"/>
          <w:rFonts w:eastAsia="仿宋"/>
          <w:sz w:val="28"/>
          <w:szCs w:val="28"/>
        </w:rPr>
        <w:t>十</w:t>
      </w:r>
      <w:r>
        <w:rPr>
          <w:rStyle w:val="17"/>
          <w:rFonts w:eastAsia="仿宋"/>
          <w:bCs/>
          <w:sz w:val="28"/>
          <w:szCs w:val="28"/>
        </w:rPr>
        <w:t>、其他重要事项的情况说明</w:t>
      </w:r>
      <w:r>
        <w:rPr>
          <w:rFonts w:eastAsia="仿宋"/>
          <w:sz w:val="28"/>
          <w:szCs w:val="28"/>
        </w:rPr>
        <w:tab/>
      </w:r>
      <w:r>
        <w:rPr>
          <w:rFonts w:hint="eastAsia" w:eastAsia="仿宋"/>
          <w:sz w:val="28"/>
          <w:szCs w:val="28"/>
        </w:rPr>
        <w:t>1</w:t>
      </w:r>
      <w:r>
        <w:rPr>
          <w:rFonts w:hint="eastAsia" w:eastAsia="仿宋"/>
          <w:sz w:val="28"/>
          <w:szCs w:val="28"/>
        </w:rPr>
        <w:fldChar w:fldCharType="end"/>
      </w:r>
      <w:r>
        <w:rPr>
          <w:rFonts w:hint="eastAsia" w:eastAsia="仿宋"/>
          <w:sz w:val="28"/>
          <w:szCs w:val="28"/>
        </w:rPr>
        <w:t>4</w:t>
      </w:r>
    </w:p>
    <w:p>
      <w:pPr>
        <w:pStyle w:val="11"/>
        <w:spacing w:before="0" w:line="560" w:lineRule="exact"/>
        <w:jc w:val="left"/>
        <w:rPr>
          <w:rFonts w:ascii="Times New Roman" w:hAnsi="Times New Roman"/>
        </w:rPr>
      </w:pPr>
      <w:r>
        <w:fldChar w:fldCharType="begin"/>
      </w:r>
      <w:r>
        <w:instrText xml:space="preserve"> HYPERLINK \l "_Toc15396613" </w:instrText>
      </w:r>
      <w:r>
        <w:fldChar w:fldCharType="separate"/>
      </w:r>
      <w:r>
        <w:rPr>
          <w:rStyle w:val="17"/>
          <w:rFonts w:ascii="Times New Roman" w:hAnsi="Times New Roman"/>
          <w:bCs/>
          <w:kern w:val="44"/>
        </w:rPr>
        <w:t>第三部分</w:t>
      </w:r>
      <w:r>
        <w:rPr>
          <w:rStyle w:val="17"/>
          <w:rFonts w:ascii="Times New Roman" w:hAnsi="Times New Roman"/>
        </w:rPr>
        <w:t xml:space="preserve"> 名</w:t>
      </w:r>
      <w:r>
        <w:rPr>
          <w:rStyle w:val="17"/>
          <w:rFonts w:ascii="Times New Roman" w:hAnsi="Times New Roman"/>
          <w:bCs/>
          <w:kern w:val="44"/>
        </w:rPr>
        <w:t>词解释</w:t>
      </w:r>
      <w:r>
        <w:rPr>
          <w:rFonts w:ascii="Times New Roman" w:hAnsi="Times New Roman"/>
        </w:rPr>
        <w:tab/>
      </w:r>
      <w:r>
        <w:rPr>
          <w:rFonts w:hint="eastAsia" w:ascii="Times New Roman" w:hAnsi="Times New Roman"/>
        </w:rPr>
        <w:t>1</w:t>
      </w:r>
      <w:r>
        <w:rPr>
          <w:rFonts w:hint="eastAsia" w:ascii="Times New Roman" w:hAnsi="Times New Roman"/>
          <w:lang w:val="en-US" w:eastAsia="zh-CN"/>
        </w:rPr>
        <w:t>8</w:t>
      </w:r>
      <w:r>
        <w:rPr>
          <w:rFonts w:hint="eastAsia" w:ascii="Times New Roman" w:hAnsi="Times New Roman"/>
        </w:rPr>
        <w:fldChar w:fldCharType="end"/>
      </w:r>
    </w:p>
    <w:p>
      <w:pPr>
        <w:pStyle w:val="11"/>
        <w:spacing w:before="0" w:line="560" w:lineRule="exact"/>
        <w:jc w:val="left"/>
        <w:rPr>
          <w:rFonts w:hint="eastAsia" w:ascii="Times New Roman" w:hAnsi="Times New Roman" w:eastAsia="仿宋"/>
          <w:lang w:val="en-US" w:eastAsia="zh-CN"/>
        </w:rPr>
      </w:pPr>
      <w:r>
        <w:fldChar w:fldCharType="begin"/>
      </w:r>
      <w:r>
        <w:instrText xml:space="preserve"> HYPERLINK \l "_Toc15396614" </w:instrText>
      </w:r>
      <w:r>
        <w:fldChar w:fldCharType="separate"/>
      </w:r>
      <w:r>
        <w:rPr>
          <w:rStyle w:val="17"/>
          <w:rFonts w:ascii="Times New Roman" w:hAnsi="Times New Roman"/>
        </w:rPr>
        <w:t>第</w:t>
      </w:r>
      <w:r>
        <w:rPr>
          <w:rStyle w:val="17"/>
          <w:rFonts w:ascii="Times New Roman" w:hAnsi="Times New Roman"/>
          <w:bCs/>
          <w:kern w:val="44"/>
        </w:rPr>
        <w:t>四部分 附件</w:t>
      </w:r>
      <w:r>
        <w:rPr>
          <w:rFonts w:ascii="Times New Roman" w:hAnsi="Times New Roman"/>
        </w:rPr>
        <w:tab/>
      </w:r>
      <w:r>
        <w:rPr>
          <w:rFonts w:hint="eastAsia" w:ascii="Times New Roman" w:hAnsi="Times New Roman"/>
          <w:lang w:val="en-US" w:eastAsia="zh-CN"/>
        </w:rPr>
        <w:t>2</w:t>
      </w:r>
      <w:r>
        <w:rPr>
          <w:rFonts w:hint="eastAsia" w:ascii="Times New Roman" w:hAnsi="Times New Roman"/>
        </w:rPr>
        <w:fldChar w:fldCharType="end"/>
      </w:r>
      <w:r>
        <w:rPr>
          <w:rFonts w:hint="eastAsia" w:ascii="Times New Roman" w:hAnsi="Times New Roman"/>
          <w:lang w:val="en-US" w:eastAsia="zh-CN"/>
        </w:rPr>
        <w:t>0</w:t>
      </w:r>
    </w:p>
    <w:p>
      <w:pPr>
        <w:pStyle w:val="12"/>
        <w:spacing w:line="560" w:lineRule="exact"/>
        <w:rPr>
          <w:rFonts w:eastAsia="仿宋"/>
          <w:sz w:val="28"/>
          <w:szCs w:val="28"/>
        </w:rPr>
      </w:pPr>
      <w:r>
        <w:fldChar w:fldCharType="begin"/>
      </w:r>
      <w:r>
        <w:instrText xml:space="preserve"> HYPERLINK \l "_Toc15396615" </w:instrText>
      </w:r>
      <w:r>
        <w:fldChar w:fldCharType="separate"/>
      </w:r>
      <w:r>
        <w:rPr>
          <w:rStyle w:val="17"/>
          <w:rFonts w:eastAsia="仿宋"/>
          <w:kern w:val="44"/>
          <w:sz w:val="28"/>
          <w:szCs w:val="28"/>
        </w:rPr>
        <w:t>附件1</w:t>
      </w:r>
      <w:r>
        <w:rPr>
          <w:rFonts w:eastAsia="仿宋"/>
          <w:sz w:val="28"/>
          <w:szCs w:val="28"/>
        </w:rPr>
        <w:tab/>
      </w:r>
      <w:r>
        <w:rPr>
          <w:rFonts w:hint="eastAsia" w:eastAsia="仿宋"/>
          <w:sz w:val="28"/>
          <w:szCs w:val="28"/>
          <w:lang w:val="en-US" w:eastAsia="zh-CN"/>
        </w:rPr>
        <w:t>2</w:t>
      </w:r>
      <w:r>
        <w:rPr>
          <w:rFonts w:hint="eastAsia" w:eastAsia="仿宋"/>
          <w:sz w:val="28"/>
          <w:szCs w:val="28"/>
        </w:rPr>
        <w:fldChar w:fldCharType="end"/>
      </w:r>
      <w:r>
        <w:rPr>
          <w:rFonts w:hint="eastAsia" w:eastAsia="仿宋"/>
          <w:sz w:val="28"/>
          <w:szCs w:val="28"/>
          <w:lang w:val="en-US" w:eastAsia="zh-CN"/>
        </w:rPr>
        <w:t>0</w:t>
      </w:r>
    </w:p>
    <w:p>
      <w:pPr>
        <w:pStyle w:val="12"/>
        <w:spacing w:line="560" w:lineRule="exact"/>
        <w:rPr>
          <w:rFonts w:hint="eastAsia" w:eastAsia="仿宋"/>
          <w:sz w:val="28"/>
          <w:szCs w:val="28"/>
          <w:lang w:eastAsia="zh-CN"/>
        </w:rPr>
      </w:pPr>
      <w:r>
        <w:fldChar w:fldCharType="begin"/>
      </w:r>
      <w:r>
        <w:instrText xml:space="preserve"> HYPERLINK \l "_Toc15396617" </w:instrText>
      </w:r>
      <w:r>
        <w:fldChar w:fldCharType="separate"/>
      </w:r>
      <w:r>
        <w:rPr>
          <w:rStyle w:val="17"/>
          <w:rFonts w:eastAsia="仿宋"/>
          <w:kern w:val="44"/>
          <w:sz w:val="28"/>
          <w:szCs w:val="28"/>
        </w:rPr>
        <w:t>附件2</w:t>
      </w:r>
      <w:r>
        <w:rPr>
          <w:rFonts w:eastAsia="仿宋"/>
          <w:sz w:val="28"/>
          <w:szCs w:val="28"/>
        </w:rPr>
        <w:tab/>
      </w:r>
      <w:r>
        <w:rPr>
          <w:rFonts w:hint="eastAsia" w:eastAsia="仿宋"/>
          <w:sz w:val="28"/>
          <w:szCs w:val="28"/>
        </w:rPr>
        <w:t>2</w:t>
      </w:r>
      <w:r>
        <w:rPr>
          <w:rFonts w:hint="eastAsia" w:eastAsia="仿宋"/>
          <w:sz w:val="28"/>
          <w:szCs w:val="28"/>
        </w:rPr>
        <w:fldChar w:fldCharType="end"/>
      </w:r>
      <w:r>
        <w:rPr>
          <w:rFonts w:hint="eastAsia" w:eastAsia="仿宋"/>
          <w:sz w:val="28"/>
          <w:szCs w:val="28"/>
          <w:lang w:val="en-US" w:eastAsia="zh-CN"/>
        </w:rPr>
        <w:t>4</w:t>
      </w:r>
    </w:p>
    <w:p>
      <w:pPr>
        <w:pStyle w:val="11"/>
        <w:spacing w:before="0" w:line="560" w:lineRule="exact"/>
        <w:rPr>
          <w:rFonts w:ascii="Times New Roman" w:hAnsi="Times New Roman"/>
        </w:rPr>
      </w:pPr>
      <w:r>
        <w:fldChar w:fldCharType="begin"/>
      </w:r>
      <w:r>
        <w:instrText xml:space="preserve"> HYPERLINK \l "_Toc15396618" </w:instrText>
      </w:r>
      <w:r>
        <w:fldChar w:fldCharType="separate"/>
      </w:r>
      <w:r>
        <w:rPr>
          <w:rStyle w:val="17"/>
          <w:rFonts w:ascii="Times New Roman" w:hAnsi="Times New Roman"/>
        </w:rPr>
        <w:t>第</w:t>
      </w:r>
      <w:r>
        <w:rPr>
          <w:rStyle w:val="17"/>
          <w:rFonts w:ascii="Times New Roman" w:hAnsi="Times New Roman"/>
          <w:bCs/>
          <w:kern w:val="44"/>
        </w:rPr>
        <w:t>五部分 附表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_Toc15396618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fldChar w:fldCharType="end"/>
      </w:r>
    </w:p>
    <w:p>
      <w:pPr>
        <w:pStyle w:val="12"/>
        <w:spacing w:line="560" w:lineRule="exact"/>
        <w:rPr>
          <w:rFonts w:eastAsia="仿宋"/>
          <w:sz w:val="28"/>
          <w:szCs w:val="28"/>
        </w:rPr>
      </w:pPr>
      <w:r>
        <w:rPr>
          <w:rFonts w:eastAsia="仿宋"/>
          <w:sz w:val="28"/>
          <w:szCs w:val="28"/>
        </w:rPr>
        <w:t>一、</w:t>
      </w:r>
      <w:r>
        <w:fldChar w:fldCharType="begin"/>
      </w:r>
      <w:r>
        <w:instrText xml:space="preserve"> HYPERLINK \l "_Toc15396619" </w:instrText>
      </w:r>
      <w:r>
        <w:fldChar w:fldCharType="separate"/>
      </w:r>
      <w:r>
        <w:rPr>
          <w:rStyle w:val="17"/>
          <w:rFonts w:eastAsia="仿宋"/>
          <w:sz w:val="28"/>
          <w:szCs w:val="28"/>
        </w:rPr>
        <w:t>收入支出决算总表</w:t>
      </w:r>
      <w:r>
        <w:rPr>
          <w:rFonts w:eastAsia="仿宋"/>
          <w:sz w:val="28"/>
          <w:szCs w:val="28"/>
        </w:rPr>
        <w:tab/>
      </w:r>
      <w:r>
        <w:rPr>
          <w:rFonts w:eastAsia="仿宋"/>
          <w:sz w:val="28"/>
          <w:szCs w:val="28"/>
        </w:rPr>
        <w:fldChar w:fldCharType="begin"/>
      </w:r>
      <w:r>
        <w:rPr>
          <w:rFonts w:eastAsia="仿宋"/>
          <w:sz w:val="28"/>
          <w:szCs w:val="28"/>
        </w:rPr>
        <w:instrText xml:space="preserve"> PAGEREF _Toc15396619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二、</w:t>
      </w:r>
      <w:r>
        <w:fldChar w:fldCharType="begin"/>
      </w:r>
      <w:r>
        <w:instrText xml:space="preserve"> HYPERLINK \l "_Toc15396620" </w:instrText>
      </w:r>
      <w:r>
        <w:fldChar w:fldCharType="separate"/>
      </w:r>
      <w:r>
        <w:rPr>
          <w:rStyle w:val="17"/>
          <w:rFonts w:eastAsia="仿宋"/>
          <w:sz w:val="28"/>
          <w:szCs w:val="28"/>
        </w:rPr>
        <w:t>收入</w:t>
      </w:r>
      <w:r>
        <w:rPr>
          <w:rStyle w:val="17"/>
          <w:rFonts w:hint="eastAsia" w:eastAsia="仿宋"/>
          <w:sz w:val="28"/>
          <w:szCs w:val="28"/>
        </w:rPr>
        <w:t>决算</w:t>
      </w:r>
      <w:r>
        <w:rPr>
          <w:rStyle w:val="17"/>
          <w:rFonts w:eastAsia="仿宋"/>
          <w:sz w:val="28"/>
          <w:szCs w:val="28"/>
        </w:rPr>
        <w:t>表</w:t>
      </w:r>
      <w:r>
        <w:rPr>
          <w:rFonts w:eastAsia="仿宋"/>
          <w:sz w:val="28"/>
          <w:szCs w:val="28"/>
        </w:rPr>
        <w:tab/>
      </w:r>
      <w:r>
        <w:rPr>
          <w:rFonts w:eastAsia="仿宋"/>
          <w:sz w:val="28"/>
          <w:szCs w:val="28"/>
        </w:rPr>
        <w:fldChar w:fldCharType="begin"/>
      </w:r>
      <w:r>
        <w:rPr>
          <w:rFonts w:eastAsia="仿宋"/>
          <w:sz w:val="28"/>
          <w:szCs w:val="28"/>
        </w:rPr>
        <w:instrText xml:space="preserve"> PAGEREF _Toc15396620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三、</w:t>
      </w:r>
      <w:r>
        <w:fldChar w:fldCharType="begin"/>
      </w:r>
      <w:r>
        <w:instrText xml:space="preserve"> HYPERLINK \l "_Toc15396621" </w:instrText>
      </w:r>
      <w:r>
        <w:fldChar w:fldCharType="separate"/>
      </w:r>
      <w:r>
        <w:rPr>
          <w:rStyle w:val="17"/>
          <w:rFonts w:eastAsia="仿宋"/>
          <w:sz w:val="28"/>
          <w:szCs w:val="28"/>
        </w:rPr>
        <w:t>支出</w:t>
      </w:r>
      <w:r>
        <w:rPr>
          <w:rStyle w:val="17"/>
          <w:rFonts w:hint="eastAsia" w:eastAsia="仿宋"/>
          <w:sz w:val="28"/>
          <w:szCs w:val="28"/>
        </w:rPr>
        <w:t>决算</w:t>
      </w:r>
      <w:r>
        <w:rPr>
          <w:rStyle w:val="17"/>
          <w:rFonts w:eastAsia="仿宋"/>
          <w:sz w:val="28"/>
          <w:szCs w:val="28"/>
        </w:rPr>
        <w:t>表</w:t>
      </w:r>
      <w:r>
        <w:rPr>
          <w:rFonts w:eastAsia="仿宋"/>
          <w:sz w:val="28"/>
          <w:szCs w:val="28"/>
        </w:rPr>
        <w:tab/>
      </w:r>
      <w:r>
        <w:rPr>
          <w:rFonts w:eastAsia="仿宋"/>
          <w:sz w:val="28"/>
          <w:szCs w:val="28"/>
        </w:rPr>
        <w:fldChar w:fldCharType="begin"/>
      </w:r>
      <w:r>
        <w:rPr>
          <w:rFonts w:eastAsia="仿宋"/>
          <w:sz w:val="28"/>
          <w:szCs w:val="28"/>
        </w:rPr>
        <w:instrText xml:space="preserve"> PAGEREF _Toc15396621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四、</w:t>
      </w:r>
      <w:r>
        <w:fldChar w:fldCharType="begin"/>
      </w:r>
      <w:r>
        <w:instrText xml:space="preserve"> HYPERLINK \l "_Toc15396622" </w:instrText>
      </w:r>
      <w:r>
        <w:fldChar w:fldCharType="separate"/>
      </w:r>
      <w:r>
        <w:rPr>
          <w:rStyle w:val="17"/>
          <w:rFonts w:eastAsia="仿宋"/>
          <w:sz w:val="28"/>
          <w:szCs w:val="28"/>
        </w:rPr>
        <w:t>财政拨款收入支出决算总表</w:t>
      </w:r>
      <w:r>
        <w:rPr>
          <w:rFonts w:eastAsia="仿宋"/>
          <w:sz w:val="28"/>
          <w:szCs w:val="28"/>
        </w:rPr>
        <w:tab/>
      </w:r>
      <w:r>
        <w:rPr>
          <w:rFonts w:eastAsia="仿宋"/>
          <w:sz w:val="28"/>
          <w:szCs w:val="28"/>
        </w:rPr>
        <w:fldChar w:fldCharType="begin"/>
      </w:r>
      <w:r>
        <w:rPr>
          <w:rFonts w:eastAsia="仿宋"/>
          <w:sz w:val="28"/>
          <w:szCs w:val="28"/>
        </w:rPr>
        <w:instrText xml:space="preserve"> PAGEREF _Toc15396622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五、</w:t>
      </w:r>
      <w:r>
        <w:fldChar w:fldCharType="begin"/>
      </w:r>
      <w:r>
        <w:instrText xml:space="preserve"> HYPERLINK \l "_Toc15396623" </w:instrText>
      </w:r>
      <w:r>
        <w:fldChar w:fldCharType="separate"/>
      </w:r>
      <w:r>
        <w:rPr>
          <w:rFonts w:eastAsia="仿宋"/>
          <w:sz w:val="28"/>
          <w:szCs w:val="28"/>
        </w:rPr>
        <w:t>财政拨款支出决算明细表</w:t>
      </w:r>
      <w:r>
        <w:rPr>
          <w:rFonts w:eastAsia="仿宋"/>
          <w:sz w:val="28"/>
          <w:szCs w:val="28"/>
        </w:rPr>
        <w:tab/>
      </w:r>
      <w:r>
        <w:rPr>
          <w:rFonts w:eastAsia="仿宋"/>
          <w:sz w:val="28"/>
          <w:szCs w:val="28"/>
        </w:rPr>
        <w:fldChar w:fldCharType="begin"/>
      </w:r>
      <w:r>
        <w:rPr>
          <w:rFonts w:eastAsia="仿宋"/>
          <w:sz w:val="28"/>
          <w:szCs w:val="28"/>
        </w:rPr>
        <w:instrText xml:space="preserve"> PAGEREF _Toc15396623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六、</w:t>
      </w:r>
      <w:r>
        <w:fldChar w:fldCharType="begin"/>
      </w:r>
      <w:r>
        <w:instrText xml:space="preserve"> HYPERLINK \l "_Toc15396624" </w:instrText>
      </w:r>
      <w:r>
        <w:fldChar w:fldCharType="separate"/>
      </w:r>
      <w:r>
        <w:rPr>
          <w:rStyle w:val="17"/>
          <w:rFonts w:eastAsia="仿宋"/>
          <w:sz w:val="28"/>
          <w:szCs w:val="28"/>
        </w:rPr>
        <w:t>一般公共预算财政拨款支出决算表</w:t>
      </w:r>
      <w:r>
        <w:rPr>
          <w:rFonts w:eastAsia="仿宋"/>
          <w:sz w:val="28"/>
          <w:szCs w:val="28"/>
        </w:rPr>
        <w:tab/>
      </w:r>
      <w:r>
        <w:rPr>
          <w:rFonts w:eastAsia="仿宋"/>
          <w:sz w:val="28"/>
          <w:szCs w:val="28"/>
        </w:rPr>
        <w:fldChar w:fldCharType="begin"/>
      </w:r>
      <w:r>
        <w:rPr>
          <w:rFonts w:eastAsia="仿宋"/>
          <w:sz w:val="28"/>
          <w:szCs w:val="28"/>
        </w:rPr>
        <w:instrText xml:space="preserve"> PAGEREF _Toc15396624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七、</w:t>
      </w:r>
      <w:r>
        <w:fldChar w:fldCharType="begin"/>
      </w:r>
      <w:r>
        <w:instrText xml:space="preserve"> HYPERLINK \l "_Toc15396625" </w:instrText>
      </w:r>
      <w:r>
        <w:fldChar w:fldCharType="separate"/>
      </w:r>
      <w:r>
        <w:rPr>
          <w:rStyle w:val="17"/>
          <w:rFonts w:eastAsia="仿宋"/>
          <w:sz w:val="28"/>
          <w:szCs w:val="28"/>
        </w:rPr>
        <w:t>一般公共预算财政拨款支出决算明细表</w:t>
      </w:r>
      <w:r>
        <w:rPr>
          <w:rFonts w:eastAsia="仿宋"/>
          <w:sz w:val="28"/>
          <w:szCs w:val="28"/>
        </w:rPr>
        <w:tab/>
      </w:r>
      <w:r>
        <w:rPr>
          <w:rFonts w:eastAsia="仿宋"/>
          <w:sz w:val="28"/>
          <w:szCs w:val="28"/>
        </w:rPr>
        <w:fldChar w:fldCharType="begin"/>
      </w:r>
      <w:r>
        <w:rPr>
          <w:rFonts w:eastAsia="仿宋"/>
          <w:sz w:val="28"/>
          <w:szCs w:val="28"/>
        </w:rPr>
        <w:instrText xml:space="preserve"> PAGEREF _Toc15396625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八、</w:t>
      </w:r>
      <w:r>
        <w:fldChar w:fldCharType="begin"/>
      </w:r>
      <w:r>
        <w:instrText xml:space="preserve"> HYPERLINK \l "_Toc15396626" </w:instrText>
      </w:r>
      <w:r>
        <w:fldChar w:fldCharType="separate"/>
      </w:r>
      <w:r>
        <w:rPr>
          <w:rStyle w:val="17"/>
          <w:rFonts w:eastAsia="仿宋"/>
          <w:sz w:val="28"/>
          <w:szCs w:val="28"/>
        </w:rPr>
        <w:t>一般公共预算财政拨款基本支出决算表</w:t>
      </w:r>
      <w:r>
        <w:rPr>
          <w:rFonts w:eastAsia="仿宋"/>
          <w:sz w:val="28"/>
          <w:szCs w:val="28"/>
        </w:rPr>
        <w:tab/>
      </w:r>
      <w:r>
        <w:rPr>
          <w:rFonts w:eastAsia="仿宋"/>
          <w:sz w:val="28"/>
          <w:szCs w:val="28"/>
        </w:rPr>
        <w:fldChar w:fldCharType="begin"/>
      </w:r>
      <w:r>
        <w:rPr>
          <w:rFonts w:eastAsia="仿宋"/>
          <w:sz w:val="28"/>
          <w:szCs w:val="28"/>
        </w:rPr>
        <w:instrText xml:space="preserve"> PAGEREF _Toc15396626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九、</w:t>
      </w:r>
      <w:r>
        <w:fldChar w:fldCharType="begin"/>
      </w:r>
      <w:r>
        <w:instrText xml:space="preserve"> HYPERLINK \l "_Toc15396627" </w:instrText>
      </w:r>
      <w:r>
        <w:fldChar w:fldCharType="separate"/>
      </w:r>
      <w:r>
        <w:rPr>
          <w:rStyle w:val="17"/>
          <w:rFonts w:eastAsia="仿宋"/>
          <w:sz w:val="28"/>
          <w:szCs w:val="28"/>
        </w:rPr>
        <w:t>一般公共预算财政拨款项目支出决算表</w:t>
      </w:r>
      <w:r>
        <w:rPr>
          <w:rFonts w:eastAsia="仿宋"/>
          <w:sz w:val="28"/>
          <w:szCs w:val="28"/>
        </w:rPr>
        <w:tab/>
      </w:r>
      <w:r>
        <w:rPr>
          <w:rFonts w:eastAsia="仿宋"/>
          <w:sz w:val="28"/>
          <w:szCs w:val="28"/>
        </w:rPr>
        <w:fldChar w:fldCharType="begin"/>
      </w:r>
      <w:r>
        <w:rPr>
          <w:rFonts w:eastAsia="仿宋"/>
          <w:sz w:val="28"/>
          <w:szCs w:val="28"/>
        </w:rPr>
        <w:instrText xml:space="preserve"> PAGEREF _Toc15396627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十、</w:t>
      </w:r>
      <w:r>
        <w:fldChar w:fldCharType="begin"/>
      </w:r>
      <w:r>
        <w:instrText xml:space="preserve"> HYPERLINK \l "_Toc15396628" </w:instrText>
      </w:r>
      <w:r>
        <w:fldChar w:fldCharType="separate"/>
      </w:r>
      <w:r>
        <w:rPr>
          <w:rStyle w:val="17"/>
          <w:rFonts w:eastAsia="仿宋"/>
          <w:sz w:val="28"/>
          <w:szCs w:val="28"/>
        </w:rPr>
        <w:t>一般公共预算财政拨款“三公”经费支出决算表</w:t>
      </w:r>
      <w:r>
        <w:rPr>
          <w:rFonts w:eastAsia="仿宋"/>
          <w:sz w:val="28"/>
          <w:szCs w:val="28"/>
        </w:rPr>
        <w:tab/>
      </w:r>
      <w:r>
        <w:rPr>
          <w:rFonts w:eastAsia="仿宋"/>
          <w:sz w:val="28"/>
          <w:szCs w:val="28"/>
        </w:rPr>
        <w:fldChar w:fldCharType="begin"/>
      </w:r>
      <w:r>
        <w:rPr>
          <w:rFonts w:eastAsia="仿宋"/>
          <w:sz w:val="28"/>
          <w:szCs w:val="28"/>
        </w:rPr>
        <w:instrText xml:space="preserve"> PAGEREF _Toc15396628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十一、</w:t>
      </w:r>
      <w:r>
        <w:fldChar w:fldCharType="begin"/>
      </w:r>
      <w:r>
        <w:instrText xml:space="preserve"> HYPERLINK \l "_Toc15396629" </w:instrText>
      </w:r>
      <w:r>
        <w:fldChar w:fldCharType="separate"/>
      </w:r>
      <w:r>
        <w:rPr>
          <w:rStyle w:val="17"/>
          <w:rFonts w:eastAsia="仿宋"/>
          <w:sz w:val="28"/>
          <w:szCs w:val="28"/>
        </w:rPr>
        <w:t>政府性基金预算财政拨款收入支出决算表</w:t>
      </w:r>
      <w:r>
        <w:rPr>
          <w:rFonts w:eastAsia="仿宋"/>
          <w:sz w:val="28"/>
          <w:szCs w:val="28"/>
        </w:rPr>
        <w:tab/>
      </w:r>
      <w:r>
        <w:rPr>
          <w:rFonts w:eastAsia="仿宋"/>
          <w:sz w:val="28"/>
          <w:szCs w:val="28"/>
        </w:rPr>
        <w:fldChar w:fldCharType="begin"/>
      </w:r>
      <w:r>
        <w:rPr>
          <w:rFonts w:eastAsia="仿宋"/>
          <w:sz w:val="28"/>
          <w:szCs w:val="28"/>
        </w:rPr>
        <w:instrText xml:space="preserve"> PAGEREF _Toc15396629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8"/>
          <w:szCs w:val="28"/>
        </w:rPr>
      </w:pPr>
      <w:r>
        <w:rPr>
          <w:rFonts w:eastAsia="仿宋"/>
          <w:sz w:val="28"/>
          <w:szCs w:val="28"/>
        </w:rPr>
        <w:t>十二、</w:t>
      </w:r>
      <w:r>
        <w:fldChar w:fldCharType="begin"/>
      </w:r>
      <w:r>
        <w:instrText xml:space="preserve"> HYPERLINK \l "_Toc15396630" </w:instrText>
      </w:r>
      <w:r>
        <w:fldChar w:fldCharType="separate"/>
      </w:r>
      <w:r>
        <w:rPr>
          <w:rStyle w:val="17"/>
          <w:rFonts w:eastAsia="仿宋"/>
          <w:sz w:val="28"/>
          <w:szCs w:val="28"/>
        </w:rPr>
        <w:t>政府性基金预算财政拨款“三公”经费支出决算表</w:t>
      </w:r>
      <w:r>
        <w:rPr>
          <w:rFonts w:eastAsia="仿宋"/>
          <w:sz w:val="28"/>
          <w:szCs w:val="28"/>
        </w:rPr>
        <w:tab/>
      </w:r>
      <w:r>
        <w:rPr>
          <w:rFonts w:eastAsia="仿宋"/>
          <w:sz w:val="28"/>
          <w:szCs w:val="28"/>
        </w:rPr>
        <w:fldChar w:fldCharType="begin"/>
      </w:r>
      <w:r>
        <w:rPr>
          <w:rFonts w:eastAsia="仿宋"/>
          <w:sz w:val="28"/>
          <w:szCs w:val="28"/>
        </w:rPr>
        <w:instrText xml:space="preserve"> PAGEREF _Toc15396630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hint="default" w:eastAsia="仿宋"/>
          <w:lang w:val="en-US" w:eastAsia="zh-CN"/>
        </w:rPr>
      </w:pPr>
      <w:r>
        <w:rPr>
          <w:rFonts w:eastAsia="仿宋"/>
          <w:sz w:val="28"/>
          <w:szCs w:val="28"/>
        </w:rPr>
        <w:t>十</w:t>
      </w:r>
      <w:r>
        <w:rPr>
          <w:rFonts w:hint="eastAsia" w:eastAsia="仿宋"/>
          <w:sz w:val="28"/>
          <w:szCs w:val="28"/>
          <w:lang w:eastAsia="zh-CN"/>
        </w:rPr>
        <w:t>三</w:t>
      </w:r>
      <w:r>
        <w:rPr>
          <w:rFonts w:eastAsia="仿宋"/>
          <w:sz w:val="28"/>
          <w:szCs w:val="28"/>
        </w:rPr>
        <w:t>、</w:t>
      </w:r>
      <w:r>
        <w:fldChar w:fldCharType="begin"/>
      </w:r>
      <w:r>
        <w:instrText xml:space="preserve"> HYPERLINK \l "_Toc15396631" </w:instrText>
      </w:r>
      <w:r>
        <w:fldChar w:fldCharType="separate"/>
      </w:r>
      <w:r>
        <w:rPr>
          <w:rStyle w:val="17"/>
          <w:rFonts w:eastAsia="仿宋"/>
          <w:sz w:val="28"/>
          <w:szCs w:val="28"/>
        </w:rPr>
        <w:t>国有资本经营预算支出决算表</w:t>
      </w:r>
      <w:r>
        <w:rPr>
          <w:rFonts w:eastAsia="仿宋"/>
          <w:sz w:val="28"/>
          <w:szCs w:val="28"/>
        </w:rPr>
        <w:tab/>
      </w:r>
      <w:r>
        <w:rPr>
          <w:rFonts w:eastAsia="仿宋"/>
          <w:sz w:val="28"/>
          <w:szCs w:val="28"/>
        </w:rPr>
        <w:fldChar w:fldCharType="begin"/>
      </w:r>
      <w:r>
        <w:rPr>
          <w:rFonts w:eastAsia="仿宋"/>
          <w:sz w:val="28"/>
          <w:szCs w:val="28"/>
        </w:rPr>
        <w:instrText xml:space="preserve"> PAGEREF _Toc15396631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pStyle w:val="12"/>
        <w:spacing w:line="560" w:lineRule="exact"/>
        <w:rPr>
          <w:rFonts w:eastAsia="仿宋"/>
          <w:sz w:val="24"/>
        </w:rPr>
      </w:pPr>
      <w:r>
        <w:rPr>
          <w:rFonts w:eastAsia="仿宋"/>
          <w:sz w:val="28"/>
          <w:szCs w:val="28"/>
        </w:rPr>
        <w:t>十</w:t>
      </w:r>
      <w:r>
        <w:rPr>
          <w:rFonts w:hint="eastAsia" w:eastAsia="仿宋"/>
          <w:sz w:val="28"/>
          <w:szCs w:val="28"/>
          <w:lang w:eastAsia="zh-CN"/>
        </w:rPr>
        <w:t>四</w:t>
      </w:r>
      <w:r>
        <w:rPr>
          <w:rFonts w:eastAsia="仿宋"/>
          <w:sz w:val="28"/>
          <w:szCs w:val="28"/>
        </w:rPr>
        <w:t>、</w:t>
      </w:r>
      <w:r>
        <w:fldChar w:fldCharType="begin"/>
      </w:r>
      <w:r>
        <w:instrText xml:space="preserve"> HYPERLINK \l "_Toc15396631" </w:instrText>
      </w:r>
      <w:r>
        <w:fldChar w:fldCharType="separate"/>
      </w:r>
      <w:r>
        <w:rPr>
          <w:rStyle w:val="17"/>
          <w:rFonts w:hint="eastAsia" w:eastAsia="仿宋"/>
          <w:sz w:val="28"/>
          <w:szCs w:val="28"/>
        </w:rPr>
        <w:t>国有资本经营预算财政拨款支出决算表</w:t>
      </w:r>
      <w:r>
        <w:rPr>
          <w:rFonts w:eastAsia="仿宋"/>
          <w:sz w:val="28"/>
          <w:szCs w:val="28"/>
        </w:rPr>
        <w:tab/>
      </w:r>
      <w:r>
        <w:rPr>
          <w:rFonts w:eastAsia="仿宋"/>
          <w:sz w:val="28"/>
          <w:szCs w:val="28"/>
        </w:rPr>
        <w:fldChar w:fldCharType="begin"/>
      </w:r>
      <w:r>
        <w:rPr>
          <w:rFonts w:eastAsia="仿宋"/>
          <w:sz w:val="28"/>
          <w:szCs w:val="28"/>
        </w:rPr>
        <w:instrText xml:space="preserve"> PAGEREF _Toc15396631 \h </w:instrText>
      </w:r>
      <w:r>
        <w:rPr>
          <w:rFonts w:eastAsia="仿宋"/>
          <w:sz w:val="28"/>
          <w:szCs w:val="28"/>
        </w:rPr>
        <w:fldChar w:fldCharType="separate"/>
      </w:r>
      <w:r>
        <w:rPr>
          <w:rFonts w:eastAsia="仿宋"/>
          <w:sz w:val="28"/>
          <w:szCs w:val="28"/>
        </w:rPr>
        <w:t>29</w:t>
      </w:r>
      <w:r>
        <w:rPr>
          <w:rFonts w:eastAsia="仿宋"/>
          <w:sz w:val="28"/>
          <w:szCs w:val="28"/>
        </w:rPr>
        <w:fldChar w:fldCharType="end"/>
      </w:r>
      <w:r>
        <w:rPr>
          <w:rFonts w:eastAsia="仿宋"/>
          <w:sz w:val="28"/>
          <w:szCs w:val="28"/>
        </w:rPr>
        <w:fldChar w:fldCharType="end"/>
      </w:r>
    </w:p>
    <w:p>
      <w:pPr>
        <w:widowControl/>
        <w:spacing w:line="560" w:lineRule="exact"/>
        <w:jc w:val="left"/>
        <w:rPr>
          <w:rFonts w:eastAsia="仿宋"/>
          <w:color w:val="000000"/>
          <w:sz w:val="24"/>
        </w:rPr>
      </w:pPr>
      <w:r>
        <w:rPr>
          <w:rFonts w:eastAsia="仿宋"/>
          <w:color w:val="000000"/>
          <w:sz w:val="24"/>
        </w:rPr>
        <w:fldChar w:fldCharType="end"/>
      </w:r>
      <w:r>
        <w:rPr>
          <w:rFonts w:hint="eastAsia" w:eastAsia="仿宋"/>
          <w:color w:val="000000"/>
          <w:sz w:val="24"/>
        </w:rPr>
        <w:t xml:space="preserve">                                              </w:t>
      </w:r>
    </w:p>
    <w:p>
      <w:pPr>
        <w:widowControl/>
        <w:spacing w:line="560" w:lineRule="exact"/>
        <w:jc w:val="left"/>
        <w:rPr>
          <w:rFonts w:eastAsia="黑体"/>
          <w:bCs/>
          <w:kern w:val="44"/>
          <w:sz w:val="44"/>
          <w:szCs w:val="44"/>
        </w:rPr>
      </w:pPr>
      <w:bookmarkStart w:id="0" w:name="_Toc15396599"/>
      <w:bookmarkStart w:id="1" w:name="_Toc15377196"/>
      <w:r>
        <w:rPr>
          <w:rFonts w:eastAsia="黑体"/>
          <w:b/>
        </w:rPr>
        <w:br w:type="page"/>
      </w:r>
    </w:p>
    <w:p>
      <w:pPr>
        <w:pStyle w:val="2"/>
        <w:spacing w:before="0" w:line="560" w:lineRule="exact"/>
        <w:jc w:val="center"/>
        <w:rPr>
          <w:rStyle w:val="26"/>
          <w:rFonts w:eastAsia="黑体"/>
          <w:b/>
          <w:bCs w:val="0"/>
        </w:rPr>
      </w:pPr>
      <w:r>
        <w:rPr>
          <w:rFonts w:eastAsia="黑体"/>
          <w:b w:val="0"/>
        </w:rPr>
        <w:t xml:space="preserve">第一部分 </w:t>
      </w:r>
      <w:r>
        <w:rPr>
          <w:rStyle w:val="26"/>
          <w:rFonts w:eastAsia="黑体"/>
          <w:b w:val="0"/>
          <w:bCs w:val="0"/>
        </w:rPr>
        <w:t>部门概况</w:t>
      </w:r>
      <w:bookmarkEnd w:id="0"/>
      <w:bookmarkEnd w:id="1"/>
    </w:p>
    <w:p>
      <w:pPr>
        <w:pStyle w:val="3"/>
        <w:spacing w:before="0" w:line="560" w:lineRule="exact"/>
        <w:ind w:firstLine="640" w:firstLineChars="200"/>
        <w:rPr>
          <w:rStyle w:val="27"/>
          <w:rFonts w:ascii="Times New Roman" w:hAnsi="Times New Roman" w:eastAsia="黑体" w:cs="Times New Roman"/>
          <w:b w:val="0"/>
          <w:bCs w:val="0"/>
        </w:rPr>
      </w:pPr>
      <w:bookmarkStart w:id="2" w:name="_Toc15377197"/>
      <w:bookmarkStart w:id="3" w:name="_Toc15396600"/>
      <w:r>
        <w:rPr>
          <w:rFonts w:ascii="Times New Roman" w:hAnsi="Times New Roman" w:eastAsia="黑体" w:cs="Times New Roman"/>
          <w:b w:val="0"/>
          <w:color w:val="000000"/>
        </w:rPr>
        <w:t>一、基</w:t>
      </w:r>
      <w:r>
        <w:rPr>
          <w:rStyle w:val="27"/>
          <w:rFonts w:ascii="Times New Roman" w:hAnsi="Times New Roman" w:eastAsia="黑体" w:cs="Times New Roman"/>
          <w:b w:val="0"/>
          <w:bCs w:val="0"/>
        </w:rPr>
        <w:t>本职能及主要工作</w:t>
      </w:r>
      <w:bookmarkEnd w:id="2"/>
      <w:bookmarkEnd w:id="3"/>
      <w:bookmarkStart w:id="4" w:name="_Toc15378445"/>
      <w:bookmarkStart w:id="5" w:name="_Toc15377198"/>
    </w:p>
    <w:p>
      <w:pPr>
        <w:pStyle w:val="6"/>
        <w:adjustRightInd w:val="0"/>
        <w:snapToGrid w:val="0"/>
        <w:spacing w:before="93" w:line="600" w:lineRule="exact"/>
        <w:ind w:firstLine="675" w:firstLineChars="210"/>
        <w:outlineLvl w:val="2"/>
        <w:rPr>
          <w:rFonts w:ascii="Times New Roman" w:eastAsia="楷体_GB2312"/>
          <w:b/>
          <w:color w:val="000000"/>
          <w:sz w:val="32"/>
          <w:szCs w:val="32"/>
          <w:highlight w:val="yellow"/>
        </w:rPr>
      </w:pPr>
      <w:r>
        <w:rPr>
          <w:rFonts w:ascii="Times New Roman" w:eastAsia="楷体_GB2312"/>
          <w:b/>
          <w:color w:val="000000"/>
          <w:sz w:val="32"/>
          <w:szCs w:val="32"/>
        </w:rPr>
        <w:t>（一）主要职能。</w:t>
      </w:r>
      <w:bookmarkEnd w:id="4"/>
      <w:bookmarkEnd w:id="5"/>
    </w:p>
    <w:p>
      <w:pPr>
        <w:spacing w:line="360" w:lineRule="auto"/>
        <w:ind w:firstLine="643"/>
        <w:rPr>
          <w:rFonts w:ascii="仿宋_GB2312" w:hAnsi="仿宋_GB2312" w:eastAsia="仿宋_GB2312" w:cs="仿宋_GB2312"/>
          <w:sz w:val="32"/>
        </w:rPr>
      </w:pPr>
      <w:bookmarkStart w:id="6" w:name="_Toc15377199"/>
      <w:bookmarkStart w:id="7" w:name="_Toc15378446"/>
      <w:r>
        <w:rPr>
          <w:rFonts w:hint="eastAsia" w:ascii="仿宋_GB2312" w:hAnsi="仿宋_GB2312" w:eastAsia="仿宋_GB2312" w:cs="仿宋_GB2312"/>
          <w:sz w:val="32"/>
        </w:rPr>
        <w:t>（1）</w:t>
      </w:r>
      <w:r>
        <w:rPr>
          <w:rFonts w:ascii="仿宋_GB2312" w:hAnsi="仿宋_GB2312" w:eastAsia="仿宋_GB2312" w:cs="仿宋_GB2312"/>
          <w:sz w:val="32"/>
        </w:rPr>
        <w:t>贯彻执行国家、省、市有关综合行政执法方面的方针、政策和法律、法规；起草有关规范性文件；拟定全县综合行政执法工作规划并组织实施。</w:t>
      </w:r>
    </w:p>
    <w:p>
      <w:pPr>
        <w:spacing w:line="360" w:lineRule="auto"/>
        <w:ind w:firstLine="643"/>
        <w:rPr>
          <w:rFonts w:ascii="仿宋_GB2312" w:hAnsi="仿宋_GB2312" w:eastAsia="仿宋_GB2312" w:cs="仿宋_GB2312"/>
          <w:sz w:val="32"/>
        </w:rPr>
      </w:pPr>
      <w:r>
        <w:rPr>
          <w:rFonts w:hint="eastAsia" w:ascii="仿宋_GB2312" w:hAnsi="仿宋_GB2312" w:eastAsia="仿宋_GB2312" w:cs="仿宋_GB2312"/>
          <w:sz w:val="32"/>
        </w:rPr>
        <w:t>（2）</w:t>
      </w:r>
      <w:r>
        <w:rPr>
          <w:rFonts w:ascii="仿宋_GB2312" w:hAnsi="仿宋_GB2312" w:eastAsia="仿宋_GB2312" w:cs="仿宋_GB2312"/>
          <w:sz w:val="32"/>
        </w:rPr>
        <w:t>行使市容环境卫生管理方面法律、法规、规章规定的全部行政处罚权。负责对县城规划区内占道经营、占道堆码等影响城市市容市貌行为的查处；负责县城规划区内对违规倾倒垃圾（含建筑垃圾）、排放污水等影响城市环境卫生行为的查处；依法拆除在街道两侧和公共场地不符合城市容貌标准、环境卫生标准的建筑物或设施；负责城市规划区内环卫设施的运行维护，城乡垃圾处理费的征收及城乡垃圾外运无害化处理工作。</w:t>
      </w:r>
    </w:p>
    <w:p>
      <w:pPr>
        <w:spacing w:line="360" w:lineRule="auto"/>
        <w:ind w:firstLine="643"/>
        <w:rPr>
          <w:rFonts w:ascii="仿宋_GB2312" w:hAnsi="仿宋_GB2312" w:eastAsia="仿宋_GB2312" w:cs="仿宋_GB2312"/>
          <w:sz w:val="32"/>
        </w:rPr>
      </w:pPr>
      <w:r>
        <w:rPr>
          <w:rFonts w:hint="eastAsia" w:ascii="仿宋_GB2312" w:hAnsi="仿宋_GB2312" w:eastAsia="仿宋_GB2312" w:cs="仿宋_GB2312"/>
          <w:sz w:val="32"/>
        </w:rPr>
        <w:t>（3）</w:t>
      </w:r>
      <w:r>
        <w:rPr>
          <w:rFonts w:ascii="仿宋_GB2312" w:hAnsi="仿宋_GB2312" w:eastAsia="仿宋_GB2312" w:cs="仿宋_GB2312"/>
          <w:sz w:val="32"/>
        </w:rPr>
        <w:t>行使城市绿化管理方面法律、法规、规章规定的全部行政处罚权，负责对县城规划区内侵占园林绿地、损坏园林绿化设施和花草树木等违法违规行为的查处。</w:t>
      </w:r>
    </w:p>
    <w:p>
      <w:pPr>
        <w:spacing w:line="360" w:lineRule="auto"/>
        <w:ind w:firstLine="643"/>
        <w:rPr>
          <w:rFonts w:ascii="仿宋_GB2312" w:hAnsi="仿宋_GB2312" w:eastAsia="仿宋_GB2312" w:cs="仿宋_GB2312"/>
          <w:sz w:val="32"/>
        </w:rPr>
      </w:pPr>
      <w:r>
        <w:rPr>
          <w:rFonts w:hint="eastAsia" w:ascii="仿宋_GB2312" w:hAnsi="仿宋_GB2312" w:eastAsia="仿宋_GB2312" w:cs="仿宋_GB2312"/>
          <w:sz w:val="32"/>
        </w:rPr>
        <w:t>（4）</w:t>
      </w:r>
      <w:r>
        <w:rPr>
          <w:rFonts w:ascii="仿宋_GB2312" w:hAnsi="仿宋_GB2312" w:eastAsia="仿宋_GB2312" w:cs="仿宋_GB2312"/>
          <w:sz w:val="32"/>
        </w:rPr>
        <w:t>行使市政管理方面法律、法规、规章规定的全部行政处罚权。负责对县城规划区内侵占和损坏城市市政设施、城市照明、环卫设施等违法违规行为的查处。</w:t>
      </w:r>
    </w:p>
    <w:p>
      <w:pPr>
        <w:spacing w:line="360" w:lineRule="auto"/>
        <w:ind w:firstLine="643"/>
        <w:rPr>
          <w:rFonts w:ascii="仿宋_GB2312" w:hAnsi="仿宋_GB2312" w:eastAsia="仿宋_GB2312" w:cs="仿宋_GB2312"/>
          <w:sz w:val="32"/>
        </w:rPr>
      </w:pPr>
      <w:r>
        <w:rPr>
          <w:rFonts w:hint="eastAsia" w:ascii="仿宋_GB2312" w:hAnsi="仿宋_GB2312" w:eastAsia="仿宋_GB2312" w:cs="仿宋_GB2312"/>
          <w:sz w:val="32"/>
        </w:rPr>
        <w:t>（5）</w:t>
      </w:r>
      <w:r>
        <w:rPr>
          <w:rFonts w:ascii="仿宋_GB2312" w:hAnsi="仿宋_GB2312" w:eastAsia="仿宋_GB2312" w:cs="仿宋_GB2312"/>
          <w:sz w:val="32"/>
        </w:rPr>
        <w:t>负责对县城规划区内侵占城市非机动车道路及在非机动车道路上违法停放车辆等违法违规行为的查处。</w:t>
      </w:r>
    </w:p>
    <w:p>
      <w:pPr>
        <w:spacing w:line="360" w:lineRule="auto"/>
        <w:ind w:firstLine="643"/>
        <w:rPr>
          <w:rFonts w:ascii="仿宋_GB2312" w:hAnsi="仿宋_GB2312" w:eastAsia="仿宋_GB2312" w:cs="仿宋_GB2312"/>
          <w:sz w:val="32"/>
        </w:rPr>
      </w:pPr>
      <w:r>
        <w:rPr>
          <w:rFonts w:hint="eastAsia" w:ascii="仿宋_GB2312" w:hAnsi="仿宋_GB2312" w:eastAsia="仿宋_GB2312" w:cs="仿宋_GB2312"/>
          <w:sz w:val="32"/>
        </w:rPr>
        <w:t>（6）</w:t>
      </w:r>
      <w:r>
        <w:rPr>
          <w:rFonts w:ascii="仿宋_GB2312" w:hAnsi="仿宋_GB2312" w:eastAsia="仿宋_GB2312" w:cs="仿宋_GB2312"/>
          <w:sz w:val="32"/>
        </w:rPr>
        <w:t>行使住房和城乡建设方面法律、法规、规章规定的全部行政处罚权。</w:t>
      </w:r>
    </w:p>
    <w:p>
      <w:pPr>
        <w:spacing w:line="360" w:lineRule="auto"/>
        <w:ind w:firstLine="643"/>
        <w:rPr>
          <w:rFonts w:ascii="仿宋_GB2312" w:hAnsi="仿宋_GB2312" w:eastAsia="仿宋_GB2312" w:cs="仿宋_GB2312"/>
          <w:sz w:val="32"/>
        </w:rPr>
      </w:pPr>
      <w:r>
        <w:rPr>
          <w:rFonts w:hint="eastAsia" w:ascii="仿宋_GB2312" w:hAnsi="仿宋_GB2312" w:eastAsia="仿宋_GB2312" w:cs="仿宋_GB2312"/>
          <w:sz w:val="32"/>
        </w:rPr>
        <w:t>（7）</w:t>
      </w:r>
      <w:r>
        <w:rPr>
          <w:rFonts w:ascii="仿宋_GB2312" w:hAnsi="仿宋_GB2312" w:eastAsia="仿宋_GB2312" w:cs="仿宋_GB2312"/>
          <w:sz w:val="32"/>
        </w:rPr>
        <w:t>行使水利管理方面法律、法规、规章规定的部分行政处罚权。负责对县城规划区内向城市河道倾倒废弃物和垃圾及违规取土、城市河道违法建筑物拆除等违法违规行为的查处。</w:t>
      </w:r>
    </w:p>
    <w:p>
      <w:pPr>
        <w:spacing w:line="360" w:lineRule="auto"/>
        <w:ind w:firstLine="643"/>
        <w:rPr>
          <w:rFonts w:ascii="仿宋_GB2312" w:hAnsi="仿宋_GB2312" w:eastAsia="仿宋_GB2312" w:cs="仿宋_GB2312"/>
          <w:sz w:val="32"/>
        </w:rPr>
      </w:pPr>
      <w:r>
        <w:rPr>
          <w:rFonts w:hint="eastAsia" w:ascii="仿宋_GB2312" w:hAnsi="仿宋_GB2312" w:eastAsia="仿宋_GB2312" w:cs="仿宋_GB2312"/>
          <w:sz w:val="32"/>
        </w:rPr>
        <w:t>（8）</w:t>
      </w:r>
      <w:r>
        <w:rPr>
          <w:rFonts w:ascii="仿宋_GB2312" w:hAnsi="仿宋_GB2312" w:eastAsia="仿宋_GB2312" w:cs="仿宋_GB2312"/>
          <w:sz w:val="32"/>
        </w:rPr>
        <w:t>参与大、中型市容环卫设施项目的规划、建设的审核，参与城市新建、改（扩）建项目中市容环卫配套设施建设方案的审核，参与建设项目中有关市政设施、城市排水以及市场建设等设施的建设方案评审、监督和竣工验收。</w:t>
      </w:r>
    </w:p>
    <w:p>
      <w:pPr>
        <w:spacing w:line="360" w:lineRule="auto"/>
        <w:ind w:firstLine="643"/>
        <w:rPr>
          <w:rFonts w:ascii="仿宋_GB2312" w:hAnsi="仿宋_GB2312" w:eastAsia="仿宋_GB2312" w:cs="仿宋_GB2312"/>
          <w:sz w:val="32"/>
        </w:rPr>
      </w:pPr>
      <w:r>
        <w:rPr>
          <w:rFonts w:hint="eastAsia" w:ascii="仿宋_GB2312" w:hAnsi="仿宋_GB2312" w:eastAsia="仿宋_GB2312" w:cs="仿宋_GB2312"/>
          <w:sz w:val="32"/>
        </w:rPr>
        <w:t>（9）</w:t>
      </w:r>
      <w:r>
        <w:rPr>
          <w:rFonts w:ascii="仿宋_GB2312" w:hAnsi="仿宋_GB2312" w:eastAsia="仿宋_GB2312" w:cs="仿宋_GB2312"/>
          <w:sz w:val="32"/>
        </w:rPr>
        <w:t>负责城市市容市貌的日常监督管理工作。</w:t>
      </w:r>
    </w:p>
    <w:p>
      <w:pPr>
        <w:spacing w:line="360" w:lineRule="auto"/>
        <w:ind w:firstLine="643"/>
        <w:rPr>
          <w:rFonts w:ascii="仿宋_GB2312" w:hAnsi="仿宋_GB2312" w:eastAsia="仿宋_GB2312" w:cs="仿宋_GB2312"/>
          <w:sz w:val="32"/>
        </w:rPr>
      </w:pPr>
      <w:r>
        <w:rPr>
          <w:rFonts w:hint="eastAsia" w:ascii="仿宋_GB2312" w:hAnsi="仿宋_GB2312" w:eastAsia="仿宋_GB2312" w:cs="仿宋_GB2312"/>
          <w:sz w:val="32"/>
        </w:rPr>
        <w:t>（10）</w:t>
      </w:r>
      <w:r>
        <w:rPr>
          <w:rFonts w:ascii="仿宋_GB2312" w:hAnsi="仿宋_GB2312" w:eastAsia="仿宋_GB2312" w:cs="仿宋_GB2312"/>
          <w:sz w:val="32"/>
        </w:rPr>
        <w:t>承办县委、县人民政府交办的其他事项。</w:t>
      </w:r>
    </w:p>
    <w:p>
      <w:pPr>
        <w:pStyle w:val="6"/>
        <w:adjustRightInd w:val="0"/>
        <w:snapToGrid w:val="0"/>
        <w:spacing w:beforeLines="0" w:line="560" w:lineRule="exact"/>
        <w:ind w:firstLine="643" w:firstLineChars="200"/>
        <w:outlineLvl w:val="2"/>
        <w:rPr>
          <w:rFonts w:ascii="Times New Roman" w:eastAsia="楷体_GB2312"/>
          <w:b/>
          <w:color w:val="000000"/>
          <w:sz w:val="32"/>
          <w:szCs w:val="32"/>
        </w:rPr>
      </w:pPr>
      <w:r>
        <w:rPr>
          <w:rFonts w:ascii="Times New Roman" w:eastAsia="楷体_GB2312"/>
          <w:b/>
          <w:color w:val="000000"/>
          <w:sz w:val="32"/>
          <w:szCs w:val="32"/>
        </w:rPr>
        <w:t>（二）2020年重点工作完成情况。</w:t>
      </w:r>
      <w:bookmarkEnd w:id="6"/>
      <w:bookmarkEnd w:id="7"/>
    </w:p>
    <w:p>
      <w:pPr>
        <w:spacing w:line="360" w:lineRule="auto"/>
        <w:ind w:firstLine="643"/>
        <w:rPr>
          <w:rFonts w:ascii="仿宋_GB2312" w:hAnsi="仿宋_GB2312" w:eastAsia="仿宋_GB2312" w:cs="仿宋_GB2312"/>
          <w:sz w:val="32"/>
        </w:rPr>
      </w:pPr>
      <w:r>
        <w:rPr>
          <w:rFonts w:hint="eastAsia" w:ascii="楷体_GB2312" w:hAnsi="楷体_GB2312" w:eastAsia="楷体_GB2312" w:cs="楷体_GB2312"/>
          <w:b/>
          <w:sz w:val="32"/>
        </w:rPr>
        <w:t>（1）全面完成机构改革工作。</w:t>
      </w:r>
      <w:r>
        <w:rPr>
          <w:rFonts w:ascii="仿宋_GB2312" w:hAnsi="仿宋_GB2312" w:eastAsia="仿宋_GB2312" w:cs="仿宋_GB2312"/>
          <w:sz w:val="32"/>
        </w:rPr>
        <w:t>出台县综合行政执法局“三定方案”，明晰部门职能职责，实现综合行政执法机构改革全面完成，机制体制全面理顺，人员配备到位。</w:t>
      </w:r>
    </w:p>
    <w:p>
      <w:pPr>
        <w:spacing w:line="360" w:lineRule="auto"/>
        <w:ind w:firstLine="643"/>
        <w:rPr>
          <w:rFonts w:ascii="仿宋_GB2312" w:hAnsi="仿宋_GB2312" w:eastAsia="仿宋_GB2312" w:cs="仿宋_GB2312"/>
          <w:sz w:val="32"/>
        </w:rPr>
      </w:pPr>
      <w:r>
        <w:rPr>
          <w:rFonts w:hint="eastAsia" w:ascii="楷体_GB2312" w:hAnsi="楷体_GB2312" w:eastAsia="楷体_GB2312" w:cs="楷体_GB2312"/>
          <w:b/>
          <w:sz w:val="32"/>
        </w:rPr>
        <w:t>（2）实施县城老城区环卫保洁市场化。</w:t>
      </w:r>
      <w:r>
        <w:rPr>
          <w:rFonts w:ascii="仿宋_GB2312" w:hAnsi="仿宋_GB2312" w:eastAsia="仿宋_GB2312" w:cs="仿宋_GB2312"/>
          <w:sz w:val="32"/>
        </w:rPr>
        <w:t>按照“一把扫帚扫到底”原则，全面实施县城老城区环卫保洁、垃圾清运及公厕管理市场化作业。</w:t>
      </w:r>
    </w:p>
    <w:p>
      <w:pPr>
        <w:spacing w:line="360" w:lineRule="auto"/>
        <w:ind w:firstLine="643"/>
        <w:rPr>
          <w:rFonts w:ascii="楷体_GB2312" w:hAnsi="楷体_GB2312" w:eastAsia="楷体_GB2312" w:cs="楷体_GB2312"/>
          <w:b/>
          <w:sz w:val="32"/>
        </w:rPr>
      </w:pPr>
      <w:r>
        <w:rPr>
          <w:rFonts w:hint="eastAsia" w:ascii="楷体_GB2312" w:hAnsi="楷体_GB2312" w:eastAsia="楷体_GB2312" w:cs="楷体_GB2312"/>
          <w:b/>
          <w:sz w:val="32"/>
        </w:rPr>
        <w:t>（3）开征城市居民生活垃圾处理费。</w:t>
      </w:r>
      <w:r>
        <w:rPr>
          <w:rFonts w:ascii="仿宋_GB2312" w:hAnsi="仿宋_GB2312" w:eastAsia="仿宋_GB2312" w:cs="仿宋_GB2312"/>
          <w:sz w:val="32"/>
        </w:rPr>
        <w:t>按照“谁污染、谁付费”的原则，开征平昌县生活垃圾处理费，降低财政压力。</w:t>
      </w:r>
    </w:p>
    <w:p>
      <w:pPr>
        <w:spacing w:line="360" w:lineRule="auto"/>
        <w:ind w:firstLine="643"/>
        <w:rPr>
          <w:rFonts w:ascii="仿宋_GB2312" w:hAnsi="仿宋_GB2312" w:eastAsia="仿宋_GB2312" w:cs="仿宋_GB2312"/>
          <w:sz w:val="32"/>
        </w:rPr>
      </w:pPr>
      <w:r>
        <w:rPr>
          <w:rFonts w:hint="eastAsia" w:ascii="楷体_GB2312" w:hAnsi="楷体_GB2312" w:eastAsia="楷体_GB2312" w:cs="楷体_GB2312"/>
          <w:b/>
          <w:sz w:val="32"/>
        </w:rPr>
        <w:t>（4）出台城市户外广告设计总体规划。</w:t>
      </w:r>
      <w:r>
        <w:rPr>
          <w:rFonts w:ascii="仿宋_GB2312" w:hAnsi="仿宋_GB2312" w:eastAsia="仿宋_GB2312" w:cs="仿宋_GB2312"/>
          <w:sz w:val="32"/>
        </w:rPr>
        <w:t>按照“统一规划、统一设计、统一设置、统一管理”原则对县城现有城市广告位进行规划设计，并纳入城市总体规划。</w:t>
      </w:r>
    </w:p>
    <w:p>
      <w:pPr>
        <w:spacing w:line="360" w:lineRule="auto"/>
        <w:ind w:firstLine="643"/>
        <w:rPr>
          <w:rFonts w:ascii="仿宋_GB2312" w:hAnsi="仿宋_GB2312" w:eastAsia="仿宋_GB2312" w:cs="仿宋_GB2312"/>
          <w:sz w:val="32"/>
        </w:rPr>
      </w:pPr>
      <w:r>
        <w:rPr>
          <w:rFonts w:hint="eastAsia" w:ascii="楷体_GB2312" w:hAnsi="楷体_GB2312" w:eastAsia="楷体_GB2312" w:cs="楷体_GB2312"/>
          <w:b/>
          <w:sz w:val="32"/>
        </w:rPr>
        <w:t>（5）出台《平昌县城区建筑垃圾处置管理实施细则》。</w:t>
      </w:r>
      <w:r>
        <w:rPr>
          <w:rFonts w:ascii="仿宋_GB2312" w:hAnsi="仿宋_GB2312" w:eastAsia="仿宋_GB2312" w:cs="仿宋_GB2312"/>
          <w:sz w:val="32"/>
        </w:rPr>
        <w:t>在城区周边规划建设弃土场，交由国有平台公司运营，从严管控无证无序渣土运输行为，从源头上减少道路扬尘污染，增加财政收入。</w:t>
      </w:r>
    </w:p>
    <w:p>
      <w:pPr>
        <w:spacing w:line="360" w:lineRule="auto"/>
        <w:ind w:firstLine="630"/>
        <w:rPr>
          <w:rFonts w:ascii="仿宋_GB2312" w:hAnsi="仿宋_GB2312" w:eastAsia="仿宋_GB2312" w:cs="仿宋_GB2312"/>
          <w:sz w:val="32"/>
        </w:rPr>
      </w:pPr>
      <w:r>
        <w:rPr>
          <w:rFonts w:hint="eastAsia" w:ascii="楷体_GB2312" w:hAnsi="楷体_GB2312" w:eastAsia="楷体_GB2312" w:cs="楷体_GB2312"/>
          <w:b/>
          <w:sz w:val="32"/>
        </w:rPr>
        <w:t>（6）出台《平昌县广场管理实施细则》。</w:t>
      </w:r>
      <w:r>
        <w:rPr>
          <w:rFonts w:ascii="仿宋_GB2312" w:hAnsi="仿宋_GB2312" w:eastAsia="仿宋_GB2312" w:cs="仿宋_GB2312"/>
          <w:sz w:val="32"/>
        </w:rPr>
        <w:t>借鉴周边城市广场管理经验，制定出台《平昌县广场管理实施细则》，统一标准、规范管理、提升形象。</w:t>
      </w:r>
    </w:p>
    <w:p>
      <w:pPr>
        <w:spacing w:line="360" w:lineRule="auto"/>
        <w:ind w:firstLine="630"/>
        <w:rPr>
          <w:rFonts w:ascii="仿宋_GB2312" w:hAnsi="仿宋_GB2312" w:eastAsia="仿宋_GB2312" w:cs="仿宋_GB2312"/>
          <w:sz w:val="32"/>
        </w:rPr>
      </w:pPr>
      <w:r>
        <w:rPr>
          <w:rFonts w:hint="eastAsia" w:ascii="楷体_GB2312" w:hAnsi="楷体_GB2312" w:eastAsia="楷体_GB2312" w:cs="楷体_GB2312"/>
          <w:b/>
          <w:sz w:val="32"/>
        </w:rPr>
        <w:t>（7）持续加大党建工作力度。</w:t>
      </w:r>
      <w:r>
        <w:rPr>
          <w:rFonts w:ascii="仿宋_GB2312" w:hAnsi="仿宋_GB2312" w:eastAsia="仿宋_GB2312" w:cs="仿宋_GB2312"/>
          <w:sz w:val="32"/>
        </w:rPr>
        <w:t>紧扣县委、县人民政府决策部署，持续加强党建工作，从严队伍管理，完善管理制度和考核办法，营造健康向上的工作环境。</w:t>
      </w:r>
    </w:p>
    <w:p>
      <w:pPr>
        <w:spacing w:line="360" w:lineRule="auto"/>
        <w:ind w:firstLine="643"/>
        <w:rPr>
          <w:rFonts w:ascii="仿宋_GB2312" w:hAnsi="仿宋_GB2312" w:eastAsia="仿宋_GB2312" w:cs="仿宋_GB2312"/>
          <w:sz w:val="32"/>
        </w:rPr>
      </w:pPr>
      <w:r>
        <w:rPr>
          <w:rFonts w:hint="eastAsia" w:ascii="楷体_GB2312" w:hAnsi="楷体_GB2312" w:eastAsia="楷体_GB2312" w:cs="楷体_GB2312"/>
          <w:b/>
          <w:sz w:val="32"/>
        </w:rPr>
        <w:t>（8）</w:t>
      </w:r>
      <w:r>
        <w:rPr>
          <w:rFonts w:ascii="楷体_GB2312" w:hAnsi="楷体_GB2312" w:eastAsia="楷体_GB2312" w:cs="楷体_GB2312"/>
          <w:b/>
          <w:sz w:val="32"/>
        </w:rPr>
        <w:t>持续提升城市管理质效。</w:t>
      </w:r>
      <w:r>
        <w:rPr>
          <w:rFonts w:ascii="仿宋_GB2312" w:hAnsi="仿宋_GB2312" w:eastAsia="仿宋_GB2312" w:cs="仿宋_GB2312"/>
          <w:sz w:val="32"/>
        </w:rPr>
        <w:t>以“治堵”、“治脏”、“治噪”、“治乱”、“治尘”为重点，加强对城市街面、广场、城乡结合部进行全方位综合整治力度，实现城市形象提档升位。</w:t>
      </w:r>
    </w:p>
    <w:p>
      <w:pPr>
        <w:spacing w:line="360" w:lineRule="auto"/>
        <w:ind w:firstLine="643"/>
        <w:rPr>
          <w:rFonts w:ascii="仿宋_GB2312" w:hAnsi="仿宋_GB2312" w:eastAsia="仿宋_GB2312" w:cs="仿宋_GB2312"/>
          <w:sz w:val="32"/>
        </w:rPr>
      </w:pPr>
      <w:r>
        <w:rPr>
          <w:rFonts w:hint="eastAsia" w:ascii="楷体_GB2312" w:hAnsi="楷体_GB2312" w:eastAsia="楷体_GB2312" w:cs="楷体_GB2312"/>
          <w:b/>
          <w:sz w:val="32"/>
        </w:rPr>
        <w:t>（9）</w:t>
      </w:r>
      <w:r>
        <w:rPr>
          <w:rFonts w:ascii="楷体_GB2312" w:hAnsi="楷体_GB2312" w:eastAsia="楷体_GB2312" w:cs="楷体_GB2312"/>
          <w:b/>
          <w:sz w:val="32"/>
        </w:rPr>
        <w:t>持续加强底线工作。</w:t>
      </w:r>
      <w:r>
        <w:rPr>
          <w:rFonts w:ascii="仿宋_GB2312" w:hAnsi="仿宋_GB2312" w:eastAsia="仿宋_GB2312" w:cs="仿宋_GB2312"/>
          <w:sz w:val="32"/>
        </w:rPr>
        <w:t>强化脱贫攻坚工作，确保如期完成脱贫攻坚任务。扎实做好安全生产和信访稳定工作，坚持“党政同责”和“一岗双责”，确保大局稳定持续。</w:t>
      </w:r>
    </w:p>
    <w:p>
      <w:pPr>
        <w:pStyle w:val="3"/>
        <w:spacing w:before="0" w:line="560" w:lineRule="exact"/>
        <w:rPr>
          <w:rFonts w:ascii="仿宋" w:hAnsi="仿宋" w:eastAsia="仿宋"/>
        </w:rPr>
      </w:pPr>
      <w:bookmarkStart w:id="8" w:name="_Toc15396601"/>
      <w:bookmarkStart w:id="9" w:name="_Toc15377200"/>
      <w:r>
        <w:rPr>
          <w:rFonts w:ascii="Times New Roman" w:hAnsi="Times New Roman" w:eastAsia="黑体" w:cs="Times New Roman"/>
          <w:b w:val="0"/>
          <w:color w:val="000000"/>
        </w:rPr>
        <w:t>二、机</w:t>
      </w:r>
      <w:r>
        <w:rPr>
          <w:rStyle w:val="27"/>
          <w:rFonts w:ascii="Times New Roman" w:hAnsi="Times New Roman" w:eastAsia="黑体" w:cs="Times New Roman"/>
          <w:b w:val="0"/>
          <w:bCs w:val="0"/>
        </w:rPr>
        <w:t>构设置</w:t>
      </w:r>
      <w:bookmarkEnd w:id="8"/>
      <w:bookmarkEnd w:id="9"/>
      <w:bookmarkStart w:id="10" w:name="_Toc15377204"/>
      <w:bookmarkStart w:id="11" w:name="_Toc15396602"/>
    </w:p>
    <w:p>
      <w:pPr>
        <w:pStyle w:val="6"/>
        <w:adjustRightInd w:val="0"/>
        <w:snapToGrid w:val="0"/>
        <w:spacing w:before="93" w:line="600" w:lineRule="exact"/>
        <w:ind w:firstLine="640" w:firstLineChars="200"/>
        <w:rPr>
          <w:rFonts w:hint="default" w:ascii="仿宋" w:hAnsi="仿宋" w:eastAsia="仿宋_GB2312"/>
          <w:color w:val="000000"/>
          <w:sz w:val="32"/>
          <w:szCs w:val="32"/>
          <w:lang w:val="en-US" w:eastAsia="zh-CN"/>
        </w:rPr>
      </w:pPr>
      <w:r>
        <w:rPr>
          <w:rFonts w:hint="eastAsia" w:ascii="仿宋_GB2312" w:hAnsi="仿宋_GB2312" w:eastAsia="仿宋_GB2312" w:cs="仿宋_GB2312"/>
          <w:sz w:val="32"/>
          <w:szCs w:val="32"/>
        </w:rPr>
        <w:t xml:space="preserve">综合行政执法局下属二级单位1个 </w:t>
      </w:r>
      <w:r>
        <w:rPr>
          <w:rFonts w:hint="eastAsia" w:hAnsi="仿宋_GB2312" w:cs="仿宋_GB2312"/>
          <w:sz w:val="32"/>
          <w:szCs w:val="32"/>
          <w:lang w:eastAsia="zh-CN"/>
        </w:rPr>
        <w:t>，其中其他事业单位</w:t>
      </w:r>
      <w:r>
        <w:rPr>
          <w:rFonts w:hint="eastAsia" w:hAnsi="仿宋_GB2312" w:cs="仿宋_GB2312"/>
          <w:sz w:val="32"/>
          <w:szCs w:val="32"/>
          <w:lang w:val="en-US" w:eastAsia="zh-CN"/>
        </w:rPr>
        <w:t>1个（平昌县环境卫生管理所）。</w:t>
      </w:r>
    </w:p>
    <w:p>
      <w:pPr>
        <w:pStyle w:val="6"/>
        <w:adjustRightInd w:val="0"/>
        <w:snapToGrid w:val="0"/>
        <w:spacing w:before="93" w:line="600" w:lineRule="exact"/>
        <w:rPr>
          <w:rFonts w:ascii="仿宋" w:hAnsi="仿宋" w:eastAsia="仿宋"/>
          <w:color w:val="000000"/>
          <w:sz w:val="32"/>
          <w:szCs w:val="32"/>
        </w:rPr>
      </w:pPr>
    </w:p>
    <w:p>
      <w:pPr>
        <w:pStyle w:val="2"/>
        <w:spacing w:before="0" w:line="560" w:lineRule="exact"/>
        <w:ind w:right="440"/>
        <w:jc w:val="right"/>
        <w:rPr>
          <w:rStyle w:val="26"/>
          <w:rFonts w:eastAsia="黑体"/>
          <w:b w:val="0"/>
          <w:bCs w:val="0"/>
        </w:rPr>
      </w:pPr>
      <w:r>
        <w:rPr>
          <w:rFonts w:eastAsia="黑体"/>
          <w:b w:val="0"/>
          <w:color w:val="000000"/>
        </w:rPr>
        <w:t>第二部分</w:t>
      </w:r>
      <w:r>
        <w:rPr>
          <w:rFonts w:eastAsia="黑体"/>
          <w:color w:val="000000"/>
        </w:rPr>
        <w:t xml:space="preserve"> </w:t>
      </w:r>
      <w:r>
        <w:rPr>
          <w:rStyle w:val="26"/>
          <w:rFonts w:eastAsia="黑体"/>
          <w:b w:val="0"/>
          <w:bCs w:val="0"/>
        </w:rPr>
        <w:t>2020年度部门决算</w:t>
      </w:r>
      <w:r>
        <w:rPr>
          <w:rStyle w:val="26"/>
          <w:rFonts w:hint="eastAsia" w:eastAsia="黑体"/>
          <w:b w:val="0"/>
          <w:bCs w:val="0"/>
        </w:rPr>
        <w:t>编制</w:t>
      </w:r>
      <w:r>
        <w:rPr>
          <w:rStyle w:val="26"/>
          <w:rFonts w:eastAsia="黑体"/>
          <w:b w:val="0"/>
          <w:bCs w:val="0"/>
        </w:rPr>
        <w:t>说明</w:t>
      </w:r>
      <w:bookmarkEnd w:id="10"/>
      <w:bookmarkEnd w:id="11"/>
    </w:p>
    <w:p>
      <w:pPr>
        <w:pStyle w:val="25"/>
        <w:numPr>
          <w:ilvl w:val="0"/>
          <w:numId w:val="1"/>
        </w:numPr>
        <w:spacing w:line="560" w:lineRule="exact"/>
        <w:ind w:firstLineChars="0"/>
        <w:outlineLvl w:val="1"/>
        <w:rPr>
          <w:rStyle w:val="27"/>
          <w:rFonts w:ascii="Times New Roman" w:hAnsi="Times New Roman" w:eastAsia="黑体" w:cs="Times New Roman"/>
          <w:b w:val="0"/>
        </w:rPr>
      </w:pPr>
      <w:bookmarkStart w:id="12" w:name="_Toc15377205"/>
      <w:bookmarkStart w:id="13" w:name="_Toc15396603"/>
      <w:r>
        <w:rPr>
          <w:rFonts w:eastAsia="黑体"/>
          <w:color w:val="000000"/>
          <w:sz w:val="32"/>
          <w:szCs w:val="32"/>
        </w:rPr>
        <w:t>收</w:t>
      </w:r>
      <w:r>
        <w:rPr>
          <w:rStyle w:val="27"/>
          <w:rFonts w:ascii="Times New Roman" w:hAnsi="Times New Roman" w:eastAsia="黑体" w:cs="Times New Roman"/>
          <w:b w:val="0"/>
        </w:rPr>
        <w:t>入支出决算总体情况说明</w:t>
      </w:r>
      <w:bookmarkEnd w:id="12"/>
      <w:bookmarkEnd w:id="13"/>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2020年度收、支总计各4668.85万元。与2019年相比，收、支总计各增加559.24万元，增长 11.97%。主要变动原因：增加了城乡生活垃圾集中外运经费，城区和部份新区环卫清扫保洁、垃圾一级转运和公厕管理购买服务等。</w:t>
      </w:r>
    </w:p>
    <w:p>
      <w:pPr>
        <w:spacing w:line="600" w:lineRule="exact"/>
        <w:ind w:firstLine="420" w:firstLineChars="200"/>
        <w:rPr>
          <w:rFonts w:eastAsia="仿宋"/>
          <w:color w:val="000000"/>
          <w:sz w:val="32"/>
          <w:szCs w:val="32"/>
        </w:rPr>
      </w:pPr>
      <w:r>
        <w:rPr>
          <w:rFonts w:hint="eastAsia"/>
        </w:rPr>
        <w:drawing>
          <wp:anchor distT="0" distB="0" distL="114300" distR="114300" simplePos="0" relativeHeight="251659264" behindDoc="0" locked="0" layoutInCell="1" allowOverlap="1">
            <wp:simplePos x="0" y="0"/>
            <wp:positionH relativeFrom="column">
              <wp:posOffset>604520</wp:posOffset>
            </wp:positionH>
            <wp:positionV relativeFrom="paragraph">
              <wp:posOffset>123190</wp:posOffset>
            </wp:positionV>
            <wp:extent cx="4099560" cy="2153285"/>
            <wp:effectExtent l="5080" t="4445" r="10160" b="13970"/>
            <wp:wrapSquare wrapText="bothSides"/>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spacing w:line="600" w:lineRule="exact"/>
        <w:ind w:firstLine="640" w:firstLineChars="200"/>
        <w:rPr>
          <w:rFonts w:ascii="仿宋" w:hAnsi="仿宋" w:eastAsia="仿宋"/>
          <w:color w:val="000000" w:themeColor="text1"/>
          <w:sz w:val="32"/>
          <w:szCs w:val="32"/>
        </w:rPr>
      </w:pPr>
    </w:p>
    <w:p/>
    <w:p>
      <w:pPr>
        <w:spacing w:line="600" w:lineRule="exact"/>
        <w:ind w:firstLine="420" w:firstLineChars="200"/>
      </w:pPr>
    </w:p>
    <w:p>
      <w:pPr>
        <w:spacing w:line="600" w:lineRule="exact"/>
        <w:ind w:firstLine="420" w:firstLineChars="200"/>
      </w:pPr>
    </w:p>
    <w:p>
      <w:pPr>
        <w:spacing w:line="600" w:lineRule="exact"/>
        <w:ind w:firstLine="420" w:firstLineChars="200"/>
      </w:pPr>
    </w:p>
    <w:p>
      <w:pPr>
        <w:pStyle w:val="25"/>
        <w:numPr>
          <w:ilvl w:val="0"/>
          <w:numId w:val="1"/>
        </w:numPr>
        <w:spacing w:line="560" w:lineRule="exact"/>
        <w:ind w:firstLineChars="0"/>
        <w:outlineLvl w:val="1"/>
        <w:rPr>
          <w:rStyle w:val="27"/>
          <w:rFonts w:ascii="Times New Roman" w:hAnsi="Times New Roman" w:eastAsia="黑体" w:cs="Times New Roman"/>
          <w:b w:val="0"/>
        </w:rPr>
      </w:pPr>
      <w:bookmarkStart w:id="14" w:name="_Toc15396604"/>
      <w:bookmarkStart w:id="15" w:name="_Toc15377206"/>
      <w:r>
        <w:rPr>
          <w:rFonts w:eastAsia="黑体"/>
          <w:color w:val="000000"/>
          <w:sz w:val="32"/>
          <w:szCs w:val="32"/>
        </w:rPr>
        <w:t>收</w:t>
      </w:r>
      <w:r>
        <w:rPr>
          <w:rStyle w:val="27"/>
          <w:rFonts w:ascii="Times New Roman" w:hAnsi="Times New Roman" w:eastAsia="黑体" w:cs="Times New Roman"/>
          <w:b w:val="0"/>
        </w:rPr>
        <w:t>入决算情况说明</w:t>
      </w:r>
      <w:bookmarkEnd w:id="14"/>
      <w:bookmarkEnd w:id="15"/>
    </w:p>
    <w:p>
      <w:pPr>
        <w:spacing w:line="560" w:lineRule="exact"/>
        <w:ind w:firstLine="640" w:firstLineChars="200"/>
        <w:rPr>
          <w:rFonts w:hint="eastAsia" w:ascii="仿宋_GB2312" w:hAnsi="仿宋_GB2312" w:eastAsia="仿宋_GB2312" w:cs="仿宋_GB2312"/>
          <w:color w:val="000000"/>
          <w:sz w:val="32"/>
          <w:szCs w:val="32"/>
        </w:rPr>
      </w:pPr>
      <w:bookmarkStart w:id="16" w:name="_Toc15396605"/>
      <w:bookmarkStart w:id="17" w:name="_Toc15377207"/>
      <w:r>
        <w:rPr>
          <w:rFonts w:hint="eastAsia" w:ascii="仿宋_GB2312" w:hAnsi="仿宋_GB2312" w:eastAsia="仿宋_GB2312" w:cs="仿宋_GB2312"/>
          <w:color w:val="000000"/>
          <w:sz w:val="32"/>
          <w:szCs w:val="32"/>
        </w:rPr>
        <w:t>2020年本年收入合计4668.85万元，其中：一般公共预算财政拨款收入4668.85万元，占100%；与2019年相比，增加1659.24万元，增长 35.53%。主要变动原因：增加了城乡生活垃圾集中外运经费，城区和部份新区环卫清扫保洁、垃圾一级转运和公厕管理购买服务等。</w:t>
      </w:r>
    </w:p>
    <w:p>
      <w:pPr>
        <w:spacing w:line="600" w:lineRule="exact"/>
        <w:ind w:firstLine="640" w:firstLineChars="200"/>
        <w:rPr>
          <w:rFonts w:ascii="仿宋_GB2312" w:eastAsia="仿宋_GB2312"/>
          <w:color w:val="FF0000"/>
          <w:sz w:val="32"/>
          <w:szCs w:val="32"/>
        </w:rPr>
      </w:pPr>
      <w:r>
        <w:rPr>
          <w:rFonts w:hint="eastAsia" w:ascii="仿宋_GB2312" w:eastAsia="仿宋_GB2312"/>
          <w:color w:val="FF0000"/>
          <w:sz w:val="32"/>
          <w:szCs w:val="32"/>
        </w:rPr>
        <w:drawing>
          <wp:anchor distT="0" distB="0" distL="114300" distR="114300" simplePos="0" relativeHeight="251660288" behindDoc="0" locked="0" layoutInCell="1" allowOverlap="1">
            <wp:simplePos x="0" y="0"/>
            <wp:positionH relativeFrom="column">
              <wp:posOffset>1022350</wp:posOffset>
            </wp:positionH>
            <wp:positionV relativeFrom="paragraph">
              <wp:posOffset>128905</wp:posOffset>
            </wp:positionV>
            <wp:extent cx="3025775" cy="1958340"/>
            <wp:effectExtent l="19050" t="0" r="22225" b="3810"/>
            <wp:wrapSquare wrapText="bothSides"/>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line="600" w:lineRule="exact"/>
        <w:ind w:firstLine="640" w:firstLineChars="200"/>
        <w:rPr>
          <w:rFonts w:ascii="仿宋_GB2312" w:eastAsia="仿宋_GB2312"/>
          <w:color w:val="FF0000"/>
          <w:sz w:val="32"/>
          <w:szCs w:val="32"/>
        </w:rPr>
      </w:pPr>
    </w:p>
    <w:p>
      <w:pPr>
        <w:spacing w:line="600" w:lineRule="exact"/>
        <w:ind w:firstLine="640" w:firstLineChars="200"/>
        <w:rPr>
          <w:rFonts w:ascii="仿宋_GB2312" w:eastAsia="仿宋_GB2312"/>
          <w:color w:val="FF0000"/>
          <w:sz w:val="32"/>
          <w:szCs w:val="32"/>
        </w:rPr>
      </w:pPr>
    </w:p>
    <w:p>
      <w:pPr>
        <w:spacing w:line="600" w:lineRule="exact"/>
        <w:ind w:firstLine="640" w:firstLineChars="200"/>
        <w:rPr>
          <w:rFonts w:ascii="仿宋_GB2312" w:eastAsia="仿宋_GB2312"/>
          <w:color w:val="FF0000"/>
          <w:sz w:val="32"/>
          <w:szCs w:val="32"/>
        </w:rPr>
      </w:pPr>
    </w:p>
    <w:p>
      <w:pPr>
        <w:spacing w:line="600" w:lineRule="exact"/>
        <w:ind w:firstLine="640" w:firstLineChars="200"/>
        <w:rPr>
          <w:rFonts w:ascii="仿宋_GB2312" w:eastAsia="仿宋_GB2312"/>
          <w:color w:val="FF0000"/>
          <w:sz w:val="32"/>
          <w:szCs w:val="32"/>
        </w:rPr>
      </w:pPr>
    </w:p>
    <w:p>
      <w:pPr>
        <w:spacing w:line="600" w:lineRule="exact"/>
        <w:ind w:firstLine="640" w:firstLineChars="200"/>
        <w:rPr>
          <w:rFonts w:ascii="仿宋_GB2312" w:eastAsia="仿宋_GB2312"/>
          <w:color w:val="FF0000"/>
          <w:sz w:val="32"/>
          <w:szCs w:val="32"/>
        </w:rPr>
      </w:pPr>
    </w:p>
    <w:p>
      <w:pPr>
        <w:pStyle w:val="25"/>
        <w:numPr>
          <w:ilvl w:val="0"/>
          <w:numId w:val="1"/>
        </w:numPr>
        <w:spacing w:line="560" w:lineRule="exact"/>
        <w:ind w:firstLineChars="0"/>
        <w:outlineLvl w:val="1"/>
        <w:rPr>
          <w:rStyle w:val="27"/>
          <w:rFonts w:ascii="Times New Roman" w:hAnsi="Times New Roman" w:eastAsia="黑体" w:cs="Times New Roman"/>
          <w:b w:val="0"/>
        </w:rPr>
      </w:pPr>
      <w:r>
        <w:rPr>
          <w:rFonts w:eastAsia="黑体"/>
          <w:color w:val="000000"/>
          <w:sz w:val="32"/>
          <w:szCs w:val="32"/>
        </w:rPr>
        <w:t>支</w:t>
      </w:r>
      <w:r>
        <w:rPr>
          <w:rStyle w:val="27"/>
          <w:rFonts w:ascii="Times New Roman" w:hAnsi="Times New Roman" w:eastAsia="黑体" w:cs="Times New Roman"/>
          <w:b w:val="0"/>
        </w:rPr>
        <w:t>出决算情况说明</w:t>
      </w:r>
      <w:bookmarkEnd w:id="16"/>
      <w:bookmarkEnd w:id="17"/>
    </w:p>
    <w:p>
      <w:pPr>
        <w:spacing w:line="560" w:lineRule="exact"/>
        <w:ind w:firstLine="640" w:firstLineChars="200"/>
        <w:rPr>
          <w:rFonts w:hint="eastAsia" w:ascii="仿宋_GB2312" w:hAnsi="仿宋_GB2312" w:eastAsia="仿宋_GB2312" w:cs="仿宋_GB2312"/>
          <w:color w:val="000000"/>
          <w:sz w:val="32"/>
          <w:szCs w:val="32"/>
        </w:rPr>
      </w:pPr>
      <w:bookmarkStart w:id="18" w:name="_Toc15377208"/>
      <w:bookmarkStart w:id="19" w:name="_Toc15396606"/>
      <w:r>
        <w:rPr>
          <w:rFonts w:hint="eastAsia" w:ascii="仿宋_GB2312" w:hAnsi="仿宋_GB2312" w:eastAsia="仿宋_GB2312" w:cs="仿宋_GB2312"/>
          <w:color w:val="000000"/>
          <w:sz w:val="32"/>
          <w:szCs w:val="32"/>
        </w:rPr>
        <w:t>2020年本年支出合计4668.85万元，其中：基本支出1896.26万元，占40.6%；项目支出2772.59万元，占59.4%。增加原因：增加了城乡生活垃圾集中外运经费，城区和部份新区环卫清扫保洁、垃圾一级转运和公厕管理购买服务等。</w:t>
      </w:r>
    </w:p>
    <w:p>
      <w:pPr>
        <w:spacing w:line="560" w:lineRule="exact"/>
        <w:ind w:firstLine="640" w:firstLineChars="200"/>
        <w:outlineLvl w:val="1"/>
        <w:rPr>
          <w:rFonts w:eastAsia="黑体"/>
          <w:color w:val="000000"/>
          <w:sz w:val="32"/>
          <w:szCs w:val="32"/>
        </w:rPr>
      </w:pPr>
      <w:r>
        <w:rPr>
          <w:rFonts w:hint="eastAsia" w:ascii="仿宋_GB2312" w:eastAsia="仿宋_GB2312"/>
          <w:color w:val="FF0000"/>
          <w:sz w:val="32"/>
          <w:szCs w:val="32"/>
        </w:rPr>
        <w:drawing>
          <wp:anchor distT="0" distB="0" distL="114300" distR="114300" simplePos="0" relativeHeight="251661312" behindDoc="0" locked="0" layoutInCell="1" allowOverlap="1">
            <wp:simplePos x="0" y="0"/>
            <wp:positionH relativeFrom="column">
              <wp:posOffset>1547495</wp:posOffset>
            </wp:positionH>
            <wp:positionV relativeFrom="paragraph">
              <wp:posOffset>131445</wp:posOffset>
            </wp:positionV>
            <wp:extent cx="2385695" cy="1791335"/>
            <wp:effectExtent l="4445" t="5080" r="10160" b="13335"/>
            <wp:wrapSquare wrapText="bothSides"/>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pacing w:line="560" w:lineRule="exact"/>
        <w:ind w:firstLine="640" w:firstLineChars="200"/>
        <w:outlineLvl w:val="1"/>
        <w:rPr>
          <w:rFonts w:eastAsia="黑体"/>
          <w:color w:val="000000"/>
          <w:sz w:val="32"/>
          <w:szCs w:val="32"/>
        </w:rPr>
      </w:pPr>
    </w:p>
    <w:p>
      <w:pPr>
        <w:spacing w:line="560" w:lineRule="exact"/>
        <w:ind w:firstLine="640" w:firstLineChars="200"/>
        <w:outlineLvl w:val="1"/>
        <w:rPr>
          <w:rFonts w:eastAsia="黑体"/>
          <w:color w:val="000000"/>
          <w:sz w:val="32"/>
          <w:szCs w:val="32"/>
        </w:rPr>
      </w:pPr>
    </w:p>
    <w:p>
      <w:pPr>
        <w:spacing w:line="560" w:lineRule="exact"/>
        <w:ind w:firstLine="640" w:firstLineChars="200"/>
        <w:outlineLvl w:val="1"/>
        <w:rPr>
          <w:rFonts w:eastAsia="黑体"/>
          <w:color w:val="000000"/>
          <w:sz w:val="32"/>
          <w:szCs w:val="32"/>
        </w:rPr>
      </w:pPr>
    </w:p>
    <w:p>
      <w:pPr>
        <w:spacing w:line="560" w:lineRule="exact"/>
        <w:ind w:firstLine="640" w:firstLineChars="200"/>
        <w:outlineLvl w:val="1"/>
        <w:rPr>
          <w:rFonts w:eastAsia="黑体"/>
          <w:color w:val="000000"/>
          <w:sz w:val="32"/>
          <w:szCs w:val="32"/>
        </w:rPr>
      </w:pPr>
    </w:p>
    <w:p>
      <w:pPr>
        <w:spacing w:line="560" w:lineRule="exact"/>
        <w:ind w:firstLine="640" w:firstLineChars="200"/>
        <w:outlineLvl w:val="1"/>
        <w:rPr>
          <w:rFonts w:eastAsia="黑体"/>
          <w:color w:val="000000"/>
          <w:sz w:val="32"/>
          <w:szCs w:val="32"/>
        </w:rPr>
      </w:pPr>
    </w:p>
    <w:p>
      <w:pPr>
        <w:spacing w:line="560" w:lineRule="exact"/>
        <w:ind w:firstLine="640" w:firstLineChars="200"/>
        <w:outlineLvl w:val="1"/>
        <w:rPr>
          <w:rFonts w:eastAsia="黑体"/>
          <w:color w:val="000000"/>
          <w:sz w:val="32"/>
          <w:szCs w:val="32"/>
        </w:rPr>
      </w:pPr>
    </w:p>
    <w:p>
      <w:pPr>
        <w:spacing w:line="560" w:lineRule="exact"/>
        <w:ind w:firstLine="640" w:firstLineChars="200"/>
        <w:outlineLvl w:val="1"/>
        <w:rPr>
          <w:rStyle w:val="27"/>
          <w:rFonts w:ascii="Times New Roman" w:hAnsi="Times New Roman" w:eastAsia="黑体" w:cs="Times New Roman"/>
          <w:b w:val="0"/>
        </w:rPr>
      </w:pPr>
      <w:r>
        <w:rPr>
          <w:rFonts w:eastAsia="黑体"/>
          <w:color w:val="000000"/>
          <w:sz w:val="32"/>
          <w:szCs w:val="32"/>
        </w:rPr>
        <w:t>四、财</w:t>
      </w:r>
      <w:r>
        <w:rPr>
          <w:rStyle w:val="27"/>
          <w:rFonts w:ascii="Times New Roman" w:hAnsi="Times New Roman" w:eastAsia="黑体" w:cs="Times New Roman"/>
          <w:b w:val="0"/>
        </w:rPr>
        <w:t>政拨款收入支出决算总体情况说明</w:t>
      </w:r>
      <w:bookmarkEnd w:id="18"/>
      <w:bookmarkEnd w:id="19"/>
    </w:p>
    <w:p>
      <w:pPr>
        <w:spacing w:line="560" w:lineRule="exact"/>
        <w:ind w:firstLine="640" w:firstLineChars="200"/>
        <w:rPr>
          <w:rFonts w:ascii="仿宋" w:hAnsi="仿宋" w:eastAsia="仿宋"/>
          <w:color w:val="000000" w:themeColor="text1"/>
          <w:sz w:val="32"/>
          <w:szCs w:val="32"/>
        </w:rPr>
      </w:pPr>
      <w:bookmarkStart w:id="20" w:name="_Toc15396607"/>
      <w:bookmarkStart w:id="21" w:name="_Toc15377209"/>
      <w:r>
        <w:rPr>
          <w:rFonts w:hint="eastAsia" w:ascii="仿宋_GB2312" w:hAnsi="仿宋_GB2312" w:eastAsia="仿宋_GB2312" w:cs="仿宋_GB2312"/>
          <w:color w:val="000000"/>
          <w:sz w:val="32"/>
          <w:szCs w:val="32"/>
        </w:rPr>
        <w:t>2020年财政拨款收、支总计各4668.85万元。与2019年相比，财政拨款收、支总计各659.24万元，增长 14.12%。</w:t>
      </w:r>
      <w:r>
        <w:rPr>
          <w:rFonts w:hint="eastAsia" w:ascii="仿宋" w:hAnsi="仿宋" w:eastAsia="仿宋"/>
          <w:color w:val="000000"/>
          <w:sz w:val="32"/>
          <w:szCs w:val="32"/>
        </w:rPr>
        <w:t>主要变动原因是：</w:t>
      </w:r>
      <w:r>
        <w:rPr>
          <w:rFonts w:hint="eastAsia" w:eastAsia="仿宋_GB2312"/>
          <w:color w:val="000000"/>
          <w:sz w:val="32"/>
          <w:szCs w:val="32"/>
        </w:rPr>
        <w:t>增加了城乡生活垃圾集中外运经费，城区和部份新区环卫清扫保洁、垃圾一级转运和公厕管理购买服务等。</w:t>
      </w:r>
    </w:p>
    <w:p>
      <w:pPr>
        <w:spacing w:line="600" w:lineRule="exact"/>
        <w:ind w:firstLine="420" w:firstLineChars="200"/>
        <w:rPr>
          <w:rFonts w:ascii="仿宋" w:hAnsi="仿宋" w:eastAsia="仿宋"/>
          <w:color w:val="000000" w:themeColor="text1"/>
          <w:sz w:val="32"/>
          <w:szCs w:val="32"/>
        </w:rPr>
      </w:pPr>
      <w:r>
        <w:rPr>
          <w:rFonts w:hint="eastAsia" w:ascii="仿宋_GB2312" w:hAnsi="仿宋_GB2312" w:eastAsia="仿宋_GB2312" w:cs="仿宋_GB2312"/>
        </w:rPr>
        <w:drawing>
          <wp:anchor distT="0" distB="0" distL="114300" distR="114300" simplePos="0" relativeHeight="251666432" behindDoc="0" locked="0" layoutInCell="1" allowOverlap="1">
            <wp:simplePos x="0" y="0"/>
            <wp:positionH relativeFrom="column">
              <wp:posOffset>135890</wp:posOffset>
            </wp:positionH>
            <wp:positionV relativeFrom="paragraph">
              <wp:posOffset>132715</wp:posOffset>
            </wp:positionV>
            <wp:extent cx="4652010" cy="2058670"/>
            <wp:effectExtent l="4445" t="4445" r="10795" b="13335"/>
            <wp:wrapTopAndBottom/>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bookmarkEnd w:id="20"/>
    <w:bookmarkEnd w:id="21"/>
    <w:p>
      <w:pPr>
        <w:spacing w:line="600" w:lineRule="exact"/>
        <w:ind w:firstLine="640" w:firstLineChars="200"/>
        <w:jc w:val="left"/>
        <w:outlineLvl w:val="1"/>
        <w:rPr>
          <w:rStyle w:val="27"/>
          <w:rFonts w:ascii="黑体" w:hAnsi="黑体" w:eastAsia="黑体"/>
          <w:b w:val="0"/>
        </w:rPr>
      </w:pPr>
      <w:bookmarkStart w:id="22" w:name="_Toc15396608"/>
      <w:bookmarkStart w:id="23" w:name="_Toc15377214"/>
      <w:r>
        <w:rPr>
          <w:rStyle w:val="27"/>
          <w:rFonts w:hint="eastAsia" w:ascii="黑体" w:hAnsi="黑体" w:eastAsia="黑体"/>
          <w:b w:val="0"/>
          <w:lang w:eastAsia="zh-CN"/>
        </w:rPr>
        <w:t>五、一</w:t>
      </w:r>
      <w:r>
        <w:rPr>
          <w:rStyle w:val="27"/>
          <w:rFonts w:hint="eastAsia" w:ascii="黑体" w:hAnsi="黑体" w:eastAsia="黑体"/>
          <w:b w:val="0"/>
        </w:rPr>
        <w:t>般公共预算财政拨款支出决算情况说明</w:t>
      </w:r>
    </w:p>
    <w:p>
      <w:pPr>
        <w:spacing w:line="600" w:lineRule="exact"/>
        <w:ind w:firstLine="643" w:firstLineChars="200"/>
        <w:outlineLvl w:val="2"/>
        <w:rPr>
          <w:rFonts w:hint="eastAsia" w:ascii="仿宋_GB2312" w:hAnsi="仿宋_GB2312" w:eastAsia="仿宋_GB2312" w:cs="仿宋_GB2312"/>
          <w:b/>
          <w:color w:val="000000"/>
          <w:sz w:val="32"/>
          <w:szCs w:val="32"/>
        </w:rPr>
      </w:pPr>
      <w:bookmarkStart w:id="24" w:name="_Toc15377210"/>
      <w:r>
        <w:rPr>
          <w:rFonts w:hint="eastAsia" w:ascii="仿宋_GB2312" w:hAnsi="仿宋_GB2312" w:eastAsia="仿宋_GB2312" w:cs="仿宋_GB2312"/>
          <w:b/>
          <w:color w:val="000000"/>
          <w:sz w:val="32"/>
          <w:szCs w:val="32"/>
        </w:rPr>
        <w:t>（一）一般公共预算财政拨款支出决算总体情况</w:t>
      </w:r>
      <w:bookmarkEnd w:id="24"/>
    </w:p>
    <w:p>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2020年一般公共预算财政拨款支出4668.85万元，占本年支出合计的100%。与2019年相比，一般公共预算财政拨款增加1659.24万元，增长35.5%。主要变动原因是增加了城乡生活垃圾集中外运经费，城区和部份新区环卫清扫保洁、垃圾一级转运和公厕管理购买服务等。</w:t>
      </w:r>
      <w:bookmarkStart w:id="25" w:name="_Toc15377211"/>
    </w:p>
    <w:p>
      <w:pPr>
        <w:spacing w:line="560" w:lineRule="exact"/>
        <w:ind w:firstLine="640" w:firstLineChars="200"/>
        <w:rPr>
          <w:rFonts w:hint="eastAsia" w:ascii="仿宋_GB2312" w:hAnsi="仿宋_GB2312" w:eastAsia="仿宋_GB2312" w:cs="仿宋_GB2312"/>
          <w:color w:val="000000"/>
          <w:sz w:val="32"/>
          <w:szCs w:val="32"/>
        </w:rPr>
      </w:pPr>
    </w:p>
    <w:p>
      <w:pPr>
        <w:spacing w:line="600" w:lineRule="exact"/>
        <w:ind w:firstLine="640" w:firstLineChars="200"/>
        <w:outlineLvl w:val="2"/>
        <w:rPr>
          <w:rFonts w:ascii="仿宋" w:hAnsi="仿宋" w:eastAsia="仿宋"/>
          <w:b/>
          <w:color w:val="000000"/>
          <w:sz w:val="32"/>
          <w:szCs w:val="32"/>
        </w:rPr>
      </w:pPr>
      <w:r>
        <w:rPr>
          <w:rFonts w:hint="eastAsia" w:ascii="仿宋" w:hAnsi="仿宋" w:eastAsia="仿宋"/>
          <w:color w:val="000000" w:themeColor="text1"/>
          <w:sz w:val="32"/>
          <w:szCs w:val="32"/>
        </w:rPr>
        <w:drawing>
          <wp:anchor distT="0" distB="0" distL="114300" distR="114300" simplePos="0" relativeHeight="251662336" behindDoc="0" locked="0" layoutInCell="1" allowOverlap="1">
            <wp:simplePos x="0" y="0"/>
            <wp:positionH relativeFrom="column">
              <wp:posOffset>249555</wp:posOffset>
            </wp:positionH>
            <wp:positionV relativeFrom="paragraph">
              <wp:posOffset>42545</wp:posOffset>
            </wp:positionV>
            <wp:extent cx="4640580" cy="1866900"/>
            <wp:effectExtent l="4445" t="4445" r="22225" b="14605"/>
            <wp:wrapTopAndBottom/>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line="600" w:lineRule="exact"/>
        <w:ind w:firstLine="643" w:firstLineChars="200"/>
        <w:outlineLvl w:val="2"/>
        <w:rPr>
          <w:rFonts w:ascii="仿宋" w:hAnsi="仿宋" w:eastAsia="仿宋"/>
          <w:b/>
          <w:color w:val="000000"/>
          <w:sz w:val="32"/>
          <w:szCs w:val="32"/>
        </w:rPr>
      </w:pPr>
    </w:p>
    <w:p>
      <w:pPr>
        <w:spacing w:line="600" w:lineRule="exact"/>
        <w:ind w:firstLine="643" w:firstLineChars="200"/>
        <w:outlineLvl w:val="2"/>
        <w:rPr>
          <w:rFonts w:ascii="仿宋" w:hAnsi="仿宋" w:eastAsia="仿宋"/>
          <w:b/>
          <w:color w:val="000000"/>
          <w:sz w:val="32"/>
          <w:szCs w:val="32"/>
        </w:rPr>
      </w:pPr>
    </w:p>
    <w:p>
      <w:pPr>
        <w:spacing w:line="600" w:lineRule="exact"/>
        <w:ind w:firstLine="321" w:firstLineChars="100"/>
        <w:outlineLvl w:val="2"/>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（二）一般公共预算财政拨款支出决算结构情况</w:t>
      </w:r>
      <w:bookmarkEnd w:id="25"/>
    </w:p>
    <w:p>
      <w:pPr>
        <w:spacing w:line="600" w:lineRule="exact"/>
        <w:ind w:firstLine="640"/>
        <w:rPr>
          <w:rFonts w:hint="eastAsia" w:ascii="仿宋_GB2312" w:hAnsi="仿宋_GB2312" w:eastAsia="仿宋_GB2312" w:cs="仿宋_GB2312"/>
        </w:rPr>
      </w:pPr>
      <w:r>
        <w:rPr>
          <w:rFonts w:hint="eastAsia" w:ascii="仿宋_GB2312" w:hAnsi="仿宋_GB2312" w:eastAsia="仿宋_GB2312" w:cs="仿宋_GB2312"/>
          <w:color w:val="000000"/>
          <w:sz w:val="32"/>
          <w:szCs w:val="32"/>
        </w:rPr>
        <w:t>2020年一般公共预算财</w:t>
      </w:r>
      <w:r>
        <w:rPr>
          <w:rFonts w:hint="eastAsia" w:ascii="仿宋_GB2312" w:hAnsi="仿宋_GB2312" w:eastAsia="仿宋_GB2312" w:cs="仿宋_GB2312"/>
          <w:color w:val="000000" w:themeColor="text1"/>
          <w:sz w:val="32"/>
          <w:szCs w:val="32"/>
        </w:rPr>
        <w:t>政拨款支出 4668.85万元，主要用于以下方面:</w:t>
      </w:r>
      <w:r>
        <w:rPr>
          <w:rFonts w:hint="eastAsia" w:ascii="仿宋_GB2312" w:hAnsi="仿宋_GB2312" w:eastAsia="仿宋_GB2312" w:cs="仿宋_GB2312"/>
          <w:b/>
          <w:color w:val="000000" w:themeColor="text1"/>
          <w:sz w:val="32"/>
          <w:szCs w:val="32"/>
        </w:rPr>
        <w:t>社会保障和就业（类）</w:t>
      </w:r>
      <w:r>
        <w:rPr>
          <w:rFonts w:hint="eastAsia" w:ascii="仿宋_GB2312" w:hAnsi="仿宋_GB2312" w:eastAsia="仿宋_GB2312" w:cs="仿宋_GB2312"/>
          <w:color w:val="000000" w:themeColor="text1"/>
          <w:sz w:val="32"/>
          <w:szCs w:val="32"/>
        </w:rPr>
        <w:t>支出121.87万元，占2%；</w:t>
      </w:r>
      <w:r>
        <w:rPr>
          <w:rFonts w:hint="eastAsia" w:ascii="仿宋_GB2312" w:hAnsi="仿宋_GB2312" w:eastAsia="仿宋_GB2312" w:cs="仿宋_GB2312"/>
          <w:b/>
          <w:bCs/>
          <w:color w:val="000000" w:themeColor="text1"/>
          <w:sz w:val="32"/>
          <w:szCs w:val="32"/>
        </w:rPr>
        <w:t>卫生健康支出79.81</w:t>
      </w:r>
      <w:r>
        <w:rPr>
          <w:rFonts w:hint="eastAsia" w:ascii="仿宋_GB2312" w:hAnsi="仿宋_GB2312" w:eastAsia="仿宋_GB2312" w:cs="仿宋_GB2312"/>
          <w:color w:val="000000" w:themeColor="text1"/>
          <w:sz w:val="32"/>
          <w:szCs w:val="32"/>
        </w:rPr>
        <w:t>万元，占1 %；城乡社区支出4459.98万元，占96%；农林水支出7.2万元，占1%。</w:t>
      </w:r>
    </w:p>
    <w:p>
      <w:pPr>
        <w:spacing w:line="60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color w:val="000000"/>
          <w:sz w:val="32"/>
          <w:szCs w:val="32"/>
        </w:rPr>
        <w:drawing>
          <wp:anchor distT="0" distB="0" distL="114300" distR="114300" simplePos="0" relativeHeight="251663360" behindDoc="0" locked="0" layoutInCell="1" allowOverlap="1">
            <wp:simplePos x="0" y="0"/>
            <wp:positionH relativeFrom="column">
              <wp:posOffset>67945</wp:posOffset>
            </wp:positionH>
            <wp:positionV relativeFrom="paragraph">
              <wp:posOffset>233045</wp:posOffset>
            </wp:positionV>
            <wp:extent cx="5270500" cy="2304415"/>
            <wp:effectExtent l="5080" t="4445" r="20320" b="15240"/>
            <wp:wrapSquare wrapText="bothSides"/>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bookmarkStart w:id="26" w:name="_Toc15377212"/>
      <w:r>
        <w:rPr>
          <w:rFonts w:hint="eastAsia" w:ascii="仿宋_GB2312" w:hAnsi="仿宋_GB2312" w:eastAsia="仿宋_GB2312" w:cs="仿宋_GB2312"/>
          <w:b/>
          <w:color w:val="000000"/>
          <w:sz w:val="32"/>
          <w:szCs w:val="32"/>
        </w:rPr>
        <w:t>（三）一般公共预算财政拨款支出决算具体情况</w:t>
      </w:r>
      <w:bookmarkEnd w:id="26"/>
    </w:p>
    <w:p>
      <w:pPr>
        <w:spacing w:line="600" w:lineRule="exact"/>
        <w:ind w:firstLine="643" w:firstLineChars="200"/>
        <w:outlineLvl w:val="2"/>
        <w:rPr>
          <w:rFonts w:hint="eastAsia" w:ascii="仿宋_GB2312" w:hAnsi="仿宋_GB2312" w:eastAsia="仿宋_GB2312" w:cs="仿宋_GB2312"/>
          <w:color w:val="FF0000"/>
          <w:sz w:val="32"/>
          <w:szCs w:val="32"/>
        </w:rPr>
      </w:pPr>
      <w:bookmarkStart w:id="27" w:name="_Toc15377444"/>
      <w:bookmarkStart w:id="28" w:name="_Toc15377213"/>
      <w:bookmarkStart w:id="29" w:name="_Toc15378460"/>
      <w:r>
        <w:rPr>
          <w:rFonts w:hint="eastAsia" w:ascii="仿宋_GB2312" w:hAnsi="仿宋_GB2312" w:eastAsia="仿宋_GB2312" w:cs="仿宋_GB2312"/>
          <w:b/>
          <w:color w:val="000000" w:themeColor="text1"/>
          <w:sz w:val="32"/>
          <w:szCs w:val="32"/>
        </w:rPr>
        <w:t>2020年一般公共预算支出决算数为4668.85万元</w:t>
      </w:r>
      <w:r>
        <w:rPr>
          <w:rFonts w:hint="eastAsia" w:ascii="仿宋_GB2312" w:hAnsi="仿宋_GB2312" w:eastAsia="仿宋_GB2312" w:cs="仿宋_GB2312"/>
          <w:color w:val="000000" w:themeColor="text1"/>
          <w:sz w:val="32"/>
          <w:szCs w:val="32"/>
        </w:rPr>
        <w:t>，</w:t>
      </w:r>
      <w:r>
        <w:rPr>
          <w:rStyle w:val="16"/>
          <w:rFonts w:hint="eastAsia" w:ascii="仿宋_GB2312" w:hAnsi="仿宋_GB2312" w:eastAsia="仿宋_GB2312" w:cs="仿宋_GB2312"/>
          <w:bCs/>
          <w:color w:val="000000" w:themeColor="text1"/>
          <w:sz w:val="32"/>
          <w:szCs w:val="32"/>
        </w:rPr>
        <w:t>完成</w:t>
      </w:r>
      <w:r>
        <w:rPr>
          <w:rStyle w:val="16"/>
          <w:rFonts w:hint="eastAsia" w:ascii="仿宋_GB2312" w:hAnsi="仿宋_GB2312" w:eastAsia="仿宋_GB2312" w:cs="仿宋_GB2312"/>
          <w:bCs/>
          <w:color w:val="000000"/>
          <w:sz w:val="32"/>
          <w:szCs w:val="32"/>
        </w:rPr>
        <w:t>预算100%。其中：</w:t>
      </w:r>
      <w:bookmarkEnd w:id="27"/>
      <w:bookmarkEnd w:id="28"/>
      <w:bookmarkEnd w:id="29"/>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Style w:val="16"/>
          <w:rFonts w:hint="eastAsia" w:ascii="仿宋_GB2312" w:hAnsi="仿宋_GB2312" w:eastAsia="仿宋_GB2312" w:cs="仿宋_GB2312"/>
          <w:bCs/>
          <w:color w:val="000000"/>
          <w:sz w:val="32"/>
          <w:szCs w:val="32"/>
        </w:rPr>
        <w:t>1.社会保障和就业（类）行政事业单位养老支出（款）机关事业单位基本养老保险缴费支出（项）:</w:t>
      </w:r>
      <w:r>
        <w:rPr>
          <w:rStyle w:val="16"/>
          <w:rFonts w:hint="eastAsia" w:ascii="仿宋_GB2312" w:hAnsi="仿宋_GB2312" w:eastAsia="仿宋_GB2312" w:cs="仿宋_GB2312"/>
          <w:b w:val="0"/>
          <w:bCs/>
          <w:color w:val="000000"/>
          <w:sz w:val="32"/>
          <w:szCs w:val="32"/>
        </w:rPr>
        <w:t xml:space="preserve"> 支出决算为116.12万元，完成预算100%。</w:t>
      </w:r>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Style w:val="16"/>
          <w:rFonts w:hint="eastAsia" w:ascii="仿宋_GB2312" w:hAnsi="仿宋_GB2312" w:eastAsia="仿宋_GB2312" w:cs="仿宋_GB2312"/>
          <w:bCs/>
          <w:color w:val="000000"/>
          <w:sz w:val="32"/>
          <w:szCs w:val="32"/>
        </w:rPr>
        <w:t>2、社会保障和就业（类）其他社会保障和就业支出（款）其他社会保障和就业支出（项）:</w:t>
      </w:r>
      <w:r>
        <w:rPr>
          <w:rStyle w:val="16"/>
          <w:rFonts w:hint="eastAsia" w:ascii="仿宋_GB2312" w:hAnsi="仿宋_GB2312" w:eastAsia="仿宋_GB2312" w:cs="仿宋_GB2312"/>
          <w:b w:val="0"/>
          <w:bCs/>
          <w:color w:val="000000"/>
          <w:sz w:val="32"/>
          <w:szCs w:val="32"/>
        </w:rPr>
        <w:t xml:space="preserve"> 支出决算为5.75万元，完成预算100%。</w:t>
      </w:r>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Style w:val="16"/>
          <w:rFonts w:hint="eastAsia" w:ascii="仿宋_GB2312" w:hAnsi="仿宋_GB2312" w:eastAsia="仿宋_GB2312" w:cs="仿宋_GB2312"/>
          <w:bCs/>
          <w:color w:val="000000"/>
          <w:sz w:val="32"/>
          <w:szCs w:val="32"/>
        </w:rPr>
        <w:t>3.</w:t>
      </w:r>
      <w:r>
        <w:rPr>
          <w:rFonts w:hint="eastAsia" w:ascii="仿宋_GB2312" w:hAnsi="仿宋_GB2312" w:eastAsia="仿宋_GB2312" w:cs="仿宋_GB2312"/>
          <w:b/>
          <w:bCs/>
          <w:color w:val="000000" w:themeColor="text1"/>
          <w:sz w:val="32"/>
          <w:szCs w:val="32"/>
        </w:rPr>
        <w:t>卫生健康</w:t>
      </w:r>
      <w:r>
        <w:rPr>
          <w:rStyle w:val="16"/>
          <w:rFonts w:hint="eastAsia" w:ascii="仿宋_GB2312" w:hAnsi="仿宋_GB2312" w:eastAsia="仿宋_GB2312" w:cs="仿宋_GB2312"/>
          <w:bCs/>
          <w:color w:val="000000"/>
          <w:sz w:val="32"/>
          <w:szCs w:val="32"/>
        </w:rPr>
        <w:t>（类）行政事业单位医疗（款）行政单位医疗（项）:</w:t>
      </w:r>
      <w:r>
        <w:rPr>
          <w:rStyle w:val="16"/>
          <w:rFonts w:hint="eastAsia" w:ascii="仿宋_GB2312" w:hAnsi="仿宋_GB2312" w:eastAsia="仿宋_GB2312" w:cs="仿宋_GB2312"/>
          <w:b w:val="0"/>
          <w:bCs/>
          <w:color w:val="000000"/>
          <w:sz w:val="32"/>
          <w:szCs w:val="32"/>
        </w:rPr>
        <w:t>支出决算为23.36万元，完成预算100%。</w:t>
      </w:r>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Style w:val="16"/>
          <w:rFonts w:hint="eastAsia" w:ascii="仿宋_GB2312" w:hAnsi="仿宋_GB2312" w:eastAsia="仿宋_GB2312" w:cs="仿宋_GB2312"/>
          <w:bCs/>
          <w:color w:val="000000"/>
          <w:sz w:val="32"/>
          <w:szCs w:val="32"/>
        </w:rPr>
        <w:t>4.</w:t>
      </w:r>
      <w:r>
        <w:rPr>
          <w:rFonts w:hint="eastAsia" w:ascii="仿宋_GB2312" w:hAnsi="仿宋_GB2312" w:eastAsia="仿宋_GB2312" w:cs="仿宋_GB2312"/>
          <w:b/>
          <w:bCs/>
          <w:color w:val="000000" w:themeColor="text1"/>
          <w:sz w:val="32"/>
          <w:szCs w:val="32"/>
        </w:rPr>
        <w:t>卫生健康</w:t>
      </w:r>
      <w:r>
        <w:rPr>
          <w:rStyle w:val="16"/>
          <w:rFonts w:hint="eastAsia" w:ascii="仿宋_GB2312" w:hAnsi="仿宋_GB2312" w:eastAsia="仿宋_GB2312" w:cs="仿宋_GB2312"/>
          <w:bCs/>
          <w:color w:val="000000"/>
          <w:sz w:val="32"/>
          <w:szCs w:val="32"/>
        </w:rPr>
        <w:t>（类）行政事业单位医疗（款）事业单位医疗（项）:</w:t>
      </w:r>
      <w:r>
        <w:rPr>
          <w:rStyle w:val="16"/>
          <w:rFonts w:hint="eastAsia" w:ascii="仿宋_GB2312" w:hAnsi="仿宋_GB2312" w:eastAsia="仿宋_GB2312" w:cs="仿宋_GB2312"/>
          <w:b w:val="0"/>
          <w:bCs/>
          <w:color w:val="000000"/>
          <w:sz w:val="32"/>
          <w:szCs w:val="32"/>
        </w:rPr>
        <w:t>支出决算为51.65万元，完成预算100%。</w:t>
      </w:r>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Style w:val="16"/>
          <w:rFonts w:hint="eastAsia" w:ascii="仿宋_GB2312" w:hAnsi="仿宋_GB2312" w:eastAsia="仿宋_GB2312" w:cs="仿宋_GB2312"/>
          <w:bCs/>
          <w:color w:val="000000"/>
          <w:sz w:val="32"/>
          <w:szCs w:val="32"/>
        </w:rPr>
        <w:t>5.</w:t>
      </w:r>
      <w:r>
        <w:rPr>
          <w:rFonts w:hint="eastAsia" w:ascii="仿宋_GB2312" w:hAnsi="仿宋_GB2312" w:eastAsia="仿宋_GB2312" w:cs="仿宋_GB2312"/>
          <w:b/>
          <w:bCs/>
          <w:color w:val="000000" w:themeColor="text1"/>
          <w:sz w:val="32"/>
          <w:szCs w:val="32"/>
        </w:rPr>
        <w:t>卫生健康</w:t>
      </w:r>
      <w:r>
        <w:rPr>
          <w:rStyle w:val="16"/>
          <w:rFonts w:hint="eastAsia" w:ascii="仿宋_GB2312" w:hAnsi="仿宋_GB2312" w:eastAsia="仿宋_GB2312" w:cs="仿宋_GB2312"/>
          <w:bCs/>
          <w:color w:val="000000"/>
          <w:sz w:val="32"/>
          <w:szCs w:val="32"/>
        </w:rPr>
        <w:t>（类）行政事业单位医疗（款）公务员医疗补助（项）:</w:t>
      </w:r>
      <w:r>
        <w:rPr>
          <w:rStyle w:val="16"/>
          <w:rFonts w:hint="eastAsia" w:ascii="仿宋_GB2312" w:hAnsi="仿宋_GB2312" w:eastAsia="仿宋_GB2312" w:cs="仿宋_GB2312"/>
          <w:b w:val="0"/>
          <w:bCs/>
          <w:color w:val="000000"/>
          <w:sz w:val="32"/>
          <w:szCs w:val="32"/>
        </w:rPr>
        <w:t>支出决算为4.8万元，完成预算100%。</w:t>
      </w:r>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bCs/>
          <w:color w:val="000000" w:themeColor="text1"/>
          <w:sz w:val="32"/>
          <w:szCs w:val="32"/>
        </w:rPr>
        <w:t>6、城乡社区支出（类）城乡社区管理事务（款）行政运行（项）：</w:t>
      </w:r>
      <w:r>
        <w:rPr>
          <w:rStyle w:val="16"/>
          <w:rFonts w:hint="eastAsia" w:ascii="仿宋_GB2312" w:hAnsi="仿宋_GB2312" w:eastAsia="仿宋_GB2312" w:cs="仿宋_GB2312"/>
          <w:b w:val="0"/>
          <w:bCs/>
          <w:color w:val="000000"/>
          <w:sz w:val="32"/>
          <w:szCs w:val="32"/>
        </w:rPr>
        <w:t>支出决算数为725.71万元，完成预算100%。</w:t>
      </w:r>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bCs/>
          <w:color w:val="000000" w:themeColor="text1"/>
          <w:sz w:val="32"/>
          <w:szCs w:val="32"/>
        </w:rPr>
        <w:t>7、城乡社区支出（类）城乡社区管理事务（款）一般行政管理事务（项）：</w:t>
      </w:r>
      <w:r>
        <w:rPr>
          <w:rStyle w:val="16"/>
          <w:rFonts w:hint="eastAsia" w:ascii="仿宋_GB2312" w:hAnsi="仿宋_GB2312" w:eastAsia="仿宋_GB2312" w:cs="仿宋_GB2312"/>
          <w:b w:val="0"/>
          <w:bCs/>
          <w:color w:val="000000"/>
          <w:sz w:val="32"/>
          <w:szCs w:val="32"/>
        </w:rPr>
        <w:t>支出决算数为11万元，完成预算100%。</w:t>
      </w:r>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bCs/>
          <w:color w:val="000000" w:themeColor="text1"/>
          <w:sz w:val="32"/>
          <w:szCs w:val="32"/>
        </w:rPr>
        <w:t>9、城乡社区支出（类）城乡社区管理事务（款）城管执法（项）：</w:t>
      </w:r>
      <w:r>
        <w:rPr>
          <w:rStyle w:val="16"/>
          <w:rFonts w:hint="eastAsia" w:ascii="仿宋_GB2312" w:hAnsi="仿宋_GB2312" w:eastAsia="仿宋_GB2312" w:cs="仿宋_GB2312"/>
          <w:b w:val="0"/>
          <w:bCs/>
          <w:color w:val="000000"/>
          <w:sz w:val="32"/>
          <w:szCs w:val="32"/>
        </w:rPr>
        <w:t>支出决算数为252万元，完成预算100%。</w:t>
      </w:r>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bCs/>
          <w:color w:val="000000" w:themeColor="text1"/>
          <w:sz w:val="32"/>
          <w:szCs w:val="32"/>
        </w:rPr>
        <w:t>10、城乡社区支出（类）城乡社区公共设施（款）小城镇基础设施建设（项）：</w:t>
      </w:r>
      <w:r>
        <w:rPr>
          <w:rStyle w:val="16"/>
          <w:rFonts w:hint="eastAsia" w:ascii="仿宋_GB2312" w:hAnsi="仿宋_GB2312" w:eastAsia="仿宋_GB2312" w:cs="仿宋_GB2312"/>
          <w:b w:val="0"/>
          <w:bCs/>
          <w:color w:val="000000"/>
          <w:sz w:val="32"/>
          <w:szCs w:val="32"/>
        </w:rPr>
        <w:t>支出决算数为20元，完成预算100%。</w:t>
      </w:r>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bCs/>
          <w:color w:val="000000" w:themeColor="text1"/>
          <w:sz w:val="32"/>
          <w:szCs w:val="32"/>
        </w:rPr>
        <w:t>11、城乡社区支出（类）城乡社区环境卫生（款）城乡社区环境卫生（项）：</w:t>
      </w:r>
      <w:r>
        <w:rPr>
          <w:rStyle w:val="16"/>
          <w:rFonts w:hint="eastAsia" w:ascii="仿宋_GB2312" w:hAnsi="仿宋_GB2312" w:eastAsia="仿宋_GB2312" w:cs="仿宋_GB2312"/>
          <w:b w:val="0"/>
          <w:bCs/>
          <w:color w:val="000000"/>
          <w:sz w:val="32"/>
          <w:szCs w:val="32"/>
        </w:rPr>
        <w:t>支出决算数为3451.27万元，完成预算100%。</w:t>
      </w:r>
    </w:p>
    <w:p>
      <w:pPr>
        <w:spacing w:line="600" w:lineRule="exact"/>
        <w:ind w:firstLine="643" w:firstLineChars="200"/>
        <w:rPr>
          <w:rStyle w:val="16"/>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bCs/>
          <w:color w:val="000000" w:themeColor="text1"/>
          <w:sz w:val="32"/>
          <w:szCs w:val="32"/>
        </w:rPr>
        <w:t>12、农林水支出（类）扶贫（款）其他扶贫支出（项）：</w:t>
      </w:r>
      <w:r>
        <w:rPr>
          <w:rStyle w:val="16"/>
          <w:rFonts w:hint="eastAsia" w:ascii="仿宋_GB2312" w:hAnsi="仿宋_GB2312" w:eastAsia="仿宋_GB2312" w:cs="仿宋_GB2312"/>
          <w:b w:val="0"/>
          <w:bCs/>
          <w:color w:val="000000"/>
          <w:sz w:val="32"/>
          <w:szCs w:val="32"/>
        </w:rPr>
        <w:t>支出决算数为7.2万元，完成预算100%。</w:t>
      </w:r>
      <w:r>
        <w:rPr>
          <w:rStyle w:val="27"/>
          <w:rFonts w:hint="eastAsia" w:ascii="仿宋_GB2312" w:hAnsi="仿宋_GB2312" w:eastAsia="仿宋_GB2312" w:cs="仿宋_GB2312"/>
          <w:b w:val="0"/>
        </w:rPr>
        <w:tab/>
      </w:r>
    </w:p>
    <w:bookmarkEnd w:id="22"/>
    <w:bookmarkEnd w:id="23"/>
    <w:p>
      <w:pPr>
        <w:tabs>
          <w:tab w:val="right" w:pos="8306"/>
        </w:tabs>
        <w:spacing w:line="600" w:lineRule="exact"/>
        <w:ind w:firstLine="643" w:firstLineChars="200"/>
        <w:outlineLvl w:val="1"/>
        <w:rPr>
          <w:rStyle w:val="27"/>
        </w:rPr>
      </w:pPr>
      <w:bookmarkStart w:id="30" w:name="_Toc15396609"/>
      <w:bookmarkStart w:id="31" w:name="_Toc15377215"/>
      <w:r>
        <w:rPr>
          <w:rFonts w:hint="eastAsia" w:ascii="黑体" w:eastAsia="黑体"/>
          <w:b/>
          <w:color w:val="000000"/>
          <w:sz w:val="32"/>
          <w:szCs w:val="32"/>
          <w:lang w:eastAsia="zh-CN"/>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27"/>
          <w:rFonts w:hint="eastAsia" w:ascii="黑体" w:hAnsi="黑体" w:eastAsia="黑体"/>
          <w:b w:val="0"/>
        </w:rPr>
        <w:t>般公共预算财政拨款基本支出决算情况说明</w:t>
      </w:r>
      <w:r>
        <w:rPr>
          <w:rStyle w:val="27"/>
          <w:rFonts w:ascii="黑体" w:hAnsi="黑体" w:eastAsia="黑体"/>
          <w:b w:val="0"/>
        </w:rPr>
        <w:tab/>
      </w:r>
    </w:p>
    <w:p>
      <w:pPr>
        <w:spacing w:line="600" w:lineRule="exact"/>
        <w:ind w:firstLine="645"/>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2020年一般公共预算财政拨款基本支出1896.26万元，其中：</w:t>
      </w:r>
    </w:p>
    <w:p>
      <w:pPr>
        <w:spacing w:line="560" w:lineRule="exact"/>
        <w:ind w:firstLine="640"/>
        <w:outlineLvl w:val="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人员经费1674.98万元，主要包括：基本工资171.27万元、津贴补贴294.38万元、奖金352.34万元、机关事业单位基本养老保险缴费121.12万元、职工基本医疗保险缴费75.01万元、公务员医疗补助缴费4.8万元、其他社会保障缴费5.75万元、其他工资福利支出246.9万元、生活补助385.45万元、其他个人和家庭的补助支出17.96万元。　　</w:t>
      </w:r>
    </w:p>
    <w:p>
      <w:pPr>
        <w:spacing w:line="560" w:lineRule="exact"/>
        <w:ind w:firstLine="640"/>
        <w:outlineLvl w:val="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日常公用经费221.3万元，主要包括：办公费5.24万元、印刷费3.62万元、水费2.55万元、电费4.04万元、邮电费1.41万元、差旅费18.35万元、维修（护）费19.06万元、租赁费7.81万元、会议费0.1万元、培训费0.68万元、公务接待费0.6万元、专用材料费1.5万元、专用燃料费18.11万元、劳务费32.29万元、工会经费24万元、公务用车运行维护费5.10万元、其他交通费33.81万元、其他商品和服务支出17.03万元。</w:t>
      </w:r>
    </w:p>
    <w:bookmarkEnd w:id="30"/>
    <w:bookmarkEnd w:id="31"/>
    <w:p>
      <w:pPr>
        <w:spacing w:line="600" w:lineRule="exact"/>
        <w:ind w:firstLine="640"/>
        <w:outlineLvl w:val="1"/>
        <w:rPr>
          <w:rStyle w:val="27"/>
          <w:rFonts w:ascii="黑体" w:hAnsi="黑体" w:eastAsia="黑体"/>
          <w:b w:val="0"/>
        </w:rPr>
      </w:pPr>
      <w:bookmarkStart w:id="32" w:name="_Toc15377218"/>
      <w:bookmarkStart w:id="33" w:name="_Toc15396610"/>
      <w:r>
        <w:rPr>
          <w:rFonts w:hint="eastAsia" w:ascii="黑体" w:eastAsia="黑体"/>
          <w:color w:val="000000"/>
          <w:sz w:val="32"/>
          <w:szCs w:val="32"/>
          <w:lang w:eastAsia="zh-CN"/>
        </w:rPr>
        <w:t>七</w:t>
      </w:r>
      <w:r>
        <w:rPr>
          <w:rFonts w:hint="eastAsia" w:ascii="黑体" w:eastAsia="黑体"/>
          <w:color w:val="000000"/>
          <w:sz w:val="32"/>
          <w:szCs w:val="32"/>
        </w:rPr>
        <w:t>、</w:t>
      </w:r>
      <w:r>
        <w:rPr>
          <w:rStyle w:val="27"/>
          <w:rFonts w:hint="eastAsia" w:ascii="黑体" w:hAnsi="黑体" w:eastAsia="黑体"/>
        </w:rPr>
        <w:t>“</w:t>
      </w:r>
      <w:r>
        <w:rPr>
          <w:rStyle w:val="27"/>
          <w:rFonts w:hint="eastAsia" w:ascii="黑体" w:hAnsi="黑体" w:eastAsia="黑体"/>
          <w:b w:val="0"/>
        </w:rPr>
        <w:t>三公”经费财政拨款支出决算情况说明</w:t>
      </w:r>
    </w:p>
    <w:p>
      <w:pPr>
        <w:spacing w:line="600" w:lineRule="exact"/>
        <w:ind w:firstLine="640"/>
        <w:outlineLvl w:val="2"/>
        <w:rPr>
          <w:rFonts w:hint="eastAsia" w:ascii="仿宋_GB2312" w:hAnsi="仿宋_GB2312" w:eastAsia="仿宋_GB2312" w:cs="仿宋_GB2312"/>
          <w:b/>
          <w:color w:val="000000"/>
          <w:sz w:val="32"/>
          <w:szCs w:val="32"/>
        </w:rPr>
      </w:pPr>
      <w:bookmarkStart w:id="34" w:name="_Toc15377216"/>
      <w:r>
        <w:rPr>
          <w:rFonts w:hint="eastAsia" w:ascii="仿宋_GB2312" w:hAnsi="仿宋_GB2312" w:eastAsia="仿宋_GB2312" w:cs="仿宋_GB2312"/>
          <w:b/>
          <w:color w:val="000000"/>
          <w:sz w:val="32"/>
          <w:szCs w:val="32"/>
        </w:rPr>
        <w:t>（一）“三公”经费财政拨款支出决算总体情况说明</w:t>
      </w:r>
      <w:bookmarkEnd w:id="34"/>
    </w:p>
    <w:p>
      <w:pPr>
        <w:spacing w:line="600"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2020年“三公”经费财政拨款支出决算为5.7万元，完成预算87%。决算数小于预算数的主要原因认真贯彻中央、省、市县关于例行节约的各项要求，进一步控制“三公经费”开支。</w:t>
      </w:r>
    </w:p>
    <w:p>
      <w:pPr>
        <w:spacing w:line="600" w:lineRule="exact"/>
        <w:ind w:firstLine="640"/>
        <w:outlineLvl w:val="2"/>
        <w:rPr>
          <w:rFonts w:hint="eastAsia" w:ascii="仿宋_GB2312" w:hAnsi="仿宋_GB2312" w:eastAsia="仿宋_GB2312" w:cs="仿宋_GB2312"/>
          <w:b/>
          <w:color w:val="000000"/>
          <w:sz w:val="32"/>
          <w:szCs w:val="32"/>
        </w:rPr>
      </w:pPr>
      <w:bookmarkStart w:id="35" w:name="_Toc15377217"/>
      <w:r>
        <w:rPr>
          <w:rFonts w:hint="eastAsia" w:ascii="仿宋_GB2312" w:hAnsi="仿宋_GB2312" w:eastAsia="仿宋_GB2312" w:cs="仿宋_GB2312"/>
          <w:b/>
          <w:color w:val="000000"/>
          <w:sz w:val="32"/>
          <w:szCs w:val="32"/>
        </w:rPr>
        <w:t>（二）“三公”经费财政拨款支出决算具体情况说明</w:t>
      </w:r>
      <w:bookmarkEnd w:id="35"/>
    </w:p>
    <w:p>
      <w:pPr>
        <w:spacing w:line="600"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2020年“三公”经费财政拨款支出决算中，因公出国（境）费支出决算0万元，占0%；公务用车购置及运行维护费支出决算5.1万元，占89%；公务接待费支出决算0.6万元，占11%。具体情况如下：</w:t>
      </w:r>
    </w:p>
    <w:p>
      <w:pPr>
        <w:spacing w:line="600" w:lineRule="exact"/>
        <w:ind w:firstLine="640"/>
        <w:rPr>
          <w:rFonts w:ascii="仿宋" w:hAnsi="仿宋" w:eastAsia="仿宋"/>
          <w:color w:val="000000"/>
          <w:sz w:val="32"/>
          <w:szCs w:val="32"/>
        </w:rPr>
      </w:pPr>
    </w:p>
    <w:p>
      <w:pPr>
        <w:spacing w:line="600" w:lineRule="exact"/>
        <w:ind w:firstLine="640"/>
        <w:rPr>
          <w:rFonts w:ascii="仿宋_GB2312" w:eastAsia="仿宋_GB2312"/>
          <w:b/>
          <w:color w:val="000000"/>
          <w:sz w:val="32"/>
          <w:szCs w:val="32"/>
        </w:rPr>
      </w:pPr>
      <w:r>
        <w:rPr>
          <w:rFonts w:hint="eastAsia" w:ascii="仿宋_GB2312" w:eastAsia="仿宋_GB2312"/>
          <w:b/>
          <w:color w:val="000000"/>
          <w:sz w:val="32"/>
          <w:szCs w:val="32"/>
        </w:rPr>
        <w:drawing>
          <wp:anchor distT="0" distB="0" distL="114300" distR="114300" simplePos="0" relativeHeight="251664384" behindDoc="0" locked="0" layoutInCell="1" allowOverlap="1">
            <wp:simplePos x="0" y="0"/>
            <wp:positionH relativeFrom="column">
              <wp:posOffset>1020445</wp:posOffset>
            </wp:positionH>
            <wp:positionV relativeFrom="paragraph">
              <wp:posOffset>137160</wp:posOffset>
            </wp:positionV>
            <wp:extent cx="3479800" cy="2277110"/>
            <wp:effectExtent l="4445" t="4445" r="20955" b="23495"/>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spacing w:line="600" w:lineRule="exact"/>
        <w:ind w:firstLine="640"/>
        <w:rPr>
          <w:rFonts w:ascii="仿宋_GB2312" w:eastAsia="仿宋_GB2312"/>
          <w:b/>
          <w:color w:val="000000"/>
          <w:sz w:val="32"/>
          <w:szCs w:val="32"/>
        </w:rPr>
      </w:pPr>
    </w:p>
    <w:p>
      <w:pPr>
        <w:spacing w:line="600" w:lineRule="exact"/>
        <w:ind w:firstLine="640"/>
        <w:rPr>
          <w:rFonts w:ascii="仿宋_GB2312" w:eastAsia="仿宋_GB2312"/>
          <w:b/>
          <w:color w:val="000000"/>
          <w:sz w:val="32"/>
          <w:szCs w:val="32"/>
        </w:rPr>
      </w:pPr>
    </w:p>
    <w:p>
      <w:pPr>
        <w:spacing w:line="600" w:lineRule="exact"/>
        <w:ind w:firstLine="640"/>
        <w:rPr>
          <w:rFonts w:ascii="仿宋_GB2312" w:eastAsia="仿宋_GB2312"/>
          <w:b/>
          <w:color w:val="000000"/>
          <w:sz w:val="32"/>
          <w:szCs w:val="32"/>
        </w:rPr>
      </w:pPr>
    </w:p>
    <w:p>
      <w:pPr>
        <w:spacing w:line="600" w:lineRule="exact"/>
        <w:ind w:firstLine="640"/>
        <w:rPr>
          <w:rFonts w:ascii="仿宋_GB2312" w:eastAsia="仿宋_GB2312"/>
          <w:b/>
          <w:color w:val="000000"/>
          <w:sz w:val="32"/>
          <w:szCs w:val="32"/>
        </w:rPr>
      </w:pPr>
    </w:p>
    <w:p>
      <w:pPr>
        <w:spacing w:line="600" w:lineRule="exact"/>
        <w:ind w:firstLine="640"/>
        <w:rPr>
          <w:rFonts w:ascii="仿宋_GB2312" w:eastAsia="仿宋_GB2312"/>
          <w:b/>
          <w:color w:val="000000"/>
          <w:sz w:val="32"/>
          <w:szCs w:val="32"/>
        </w:rPr>
      </w:pPr>
    </w:p>
    <w:p>
      <w:pPr>
        <w:spacing w:line="600" w:lineRule="exact"/>
        <w:ind w:firstLine="640"/>
        <w:rPr>
          <w:rFonts w:ascii="仿宋_GB2312" w:eastAsia="仿宋_GB2312"/>
          <w:b/>
          <w:color w:val="000000"/>
          <w:sz w:val="32"/>
          <w:szCs w:val="32"/>
        </w:rPr>
      </w:pPr>
    </w:p>
    <w:p>
      <w:pPr>
        <w:spacing w:line="600" w:lineRule="exact"/>
        <w:ind w:firstLine="640"/>
        <w:rPr>
          <w:rFonts w:ascii="仿宋_GB2312" w:eastAsia="仿宋_GB2312"/>
          <w:b/>
          <w:color w:val="000000"/>
          <w:sz w:val="32"/>
          <w:szCs w:val="32"/>
        </w:rPr>
      </w:pPr>
      <w:r>
        <w:rPr>
          <w:rFonts w:ascii="仿宋_GB2312" w:eastAsia="仿宋_GB2312"/>
          <w:b/>
          <w:color w:val="000000"/>
          <w:sz w:val="32"/>
          <w:szCs w:val="32"/>
        </w:rPr>
        <w:t>1.</w:t>
      </w:r>
      <w:r>
        <w:rPr>
          <w:rFonts w:hint="eastAsia" w:ascii="仿宋_GB2312" w:eastAsia="仿宋_GB2312"/>
          <w:b/>
          <w:color w:val="000000"/>
          <w:sz w:val="32"/>
          <w:szCs w:val="32"/>
        </w:rPr>
        <w:t>因公出国（境）经费支出</w:t>
      </w:r>
      <w:r>
        <w:rPr>
          <w:rFonts w:hint="eastAsia" w:ascii="仿宋_GB2312" w:eastAsia="仿宋_GB2312"/>
          <w:color w:val="000000"/>
          <w:sz w:val="32"/>
          <w:szCs w:val="32"/>
        </w:rPr>
        <w:t>0万元，</w:t>
      </w:r>
      <w:r>
        <w:rPr>
          <w:rStyle w:val="16"/>
          <w:rFonts w:hint="eastAsia" w:ascii="仿宋" w:hAnsi="仿宋" w:eastAsia="仿宋"/>
          <w:b w:val="0"/>
          <w:bCs/>
          <w:color w:val="000000"/>
          <w:sz w:val="32"/>
          <w:szCs w:val="32"/>
        </w:rPr>
        <w:t>完成预算0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r>
        <w:rPr>
          <w:rFonts w:hint="eastAsia" w:ascii="仿宋_GB2312" w:eastAsia="仿宋_GB2312"/>
          <w:color w:val="000000"/>
          <w:sz w:val="32"/>
          <w:szCs w:val="32"/>
        </w:rPr>
        <w:t>全年安排因公出国（境）团组0次，出国（境）0人。因公出国（境）支出决算与</w:t>
      </w:r>
      <w:r>
        <w:rPr>
          <w:rFonts w:ascii="仿宋_GB2312" w:eastAsia="仿宋_GB2312"/>
          <w:color w:val="000000"/>
          <w:sz w:val="32"/>
          <w:szCs w:val="32"/>
        </w:rPr>
        <w:t>201</w:t>
      </w:r>
      <w:r>
        <w:rPr>
          <w:rFonts w:hint="eastAsia" w:ascii="仿宋_GB2312" w:eastAsia="仿宋_GB2312"/>
          <w:color w:val="000000"/>
          <w:sz w:val="32"/>
          <w:szCs w:val="32"/>
        </w:rPr>
        <w:t>9年比较无变化。</w:t>
      </w:r>
    </w:p>
    <w:p>
      <w:pPr>
        <w:spacing w:line="560" w:lineRule="exact"/>
        <w:ind w:firstLine="643" w:firstLineChars="200"/>
        <w:rPr>
          <w:rFonts w:eastAsia="仿宋_GB2312"/>
          <w:color w:val="FF0000"/>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公务用车购置及运行维护费支出5.1</w:t>
      </w:r>
      <w:r>
        <w:rPr>
          <w:rFonts w:hint="eastAsia" w:ascii="仿宋_GB2312" w:eastAsia="仿宋_GB2312"/>
          <w:sz w:val="32"/>
          <w:szCs w:val="32"/>
        </w:rPr>
        <w:t>万元,</w:t>
      </w:r>
      <w:r>
        <w:rPr>
          <w:rStyle w:val="16"/>
          <w:rFonts w:hint="eastAsia" w:ascii="仿宋" w:hAnsi="仿宋" w:eastAsia="仿宋"/>
          <w:b w:val="0"/>
          <w:bCs/>
          <w:sz w:val="32"/>
          <w:szCs w:val="32"/>
        </w:rPr>
        <w:t>完成预算100</w:t>
      </w:r>
      <w:r>
        <w:rPr>
          <w:rStyle w:val="16"/>
          <w:rFonts w:ascii="仿宋" w:hAnsi="仿宋" w:eastAsia="仿宋"/>
          <w:b w:val="0"/>
          <w:bCs/>
          <w:sz w:val="32"/>
          <w:szCs w:val="32"/>
        </w:rPr>
        <w:t>%</w:t>
      </w:r>
      <w:r>
        <w:rPr>
          <w:rStyle w:val="16"/>
          <w:rFonts w:hint="eastAsia" w:ascii="仿宋" w:hAnsi="仿宋" w:eastAsia="仿宋"/>
          <w:b w:val="0"/>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201</w:t>
      </w:r>
      <w:r>
        <w:rPr>
          <w:rFonts w:hint="eastAsia" w:ascii="仿宋_GB2312" w:eastAsia="仿宋_GB2312"/>
          <w:sz w:val="32"/>
          <w:szCs w:val="32"/>
        </w:rPr>
        <w:t>9年减少1.27万元，下降3</w:t>
      </w:r>
      <w:r>
        <w:rPr>
          <w:rFonts w:ascii="仿宋_GB2312" w:eastAsia="仿宋_GB2312"/>
          <w:sz w:val="32"/>
          <w:szCs w:val="32"/>
        </w:rPr>
        <w:t>%</w:t>
      </w:r>
      <w:r>
        <w:rPr>
          <w:rFonts w:hint="eastAsia" w:ascii="仿宋_GB2312" w:eastAsia="仿宋_GB2312"/>
          <w:sz w:val="32"/>
          <w:szCs w:val="32"/>
        </w:rPr>
        <w:t>。主要原因是</w:t>
      </w:r>
      <w:r>
        <w:rPr>
          <w:rFonts w:hint="eastAsia" w:eastAsia="仿宋_GB2312"/>
          <w:sz w:val="32"/>
          <w:szCs w:val="32"/>
        </w:rPr>
        <w:t>主要原因是认真贯彻中央、省、市县关于例行节约的各项要求，进一步控制“三公经费”开支。</w:t>
      </w: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rPr>
        <w:t>0万元。2020年按规定</w:t>
      </w:r>
      <w:r>
        <w:rPr>
          <w:rFonts w:hint="eastAsia" w:ascii="仿宋_GB2312" w:eastAsia="仿宋_GB2312"/>
          <w:color w:val="000000"/>
          <w:sz w:val="32"/>
          <w:szCs w:val="32"/>
        </w:rPr>
        <w:t>更新购置公务用车0辆，金额0</w:t>
      </w:r>
      <w:r>
        <w:rPr>
          <w:rFonts w:ascii="仿宋_GB2312" w:eastAsia="仿宋_GB2312"/>
          <w:color w:val="000000"/>
          <w:sz w:val="32"/>
          <w:szCs w:val="32"/>
        </w:rPr>
        <w:t>元。</w:t>
      </w:r>
      <w:r>
        <w:rPr>
          <w:rFonts w:hint="eastAsia" w:ascii="仿宋_GB2312" w:eastAsia="仿宋_GB2312"/>
          <w:color w:val="000000"/>
          <w:sz w:val="32"/>
          <w:szCs w:val="32"/>
        </w:rPr>
        <w:t>截至</w:t>
      </w:r>
      <w:r>
        <w:rPr>
          <w:rFonts w:ascii="仿宋_GB2312" w:eastAsia="仿宋_GB2312"/>
          <w:color w:val="000000"/>
          <w:sz w:val="32"/>
          <w:szCs w:val="32"/>
        </w:rPr>
        <w:t>2020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月底，单位共有公务用车52辆，其中： 执法执勤用车6辆、特种专业技术用车42辆、其他车辆4辆。</w:t>
      </w:r>
    </w:p>
    <w:p>
      <w:pPr>
        <w:spacing w:line="56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公务用车运行维护费支出</w:t>
      </w:r>
      <w:r>
        <w:rPr>
          <w:rFonts w:hint="eastAsia" w:ascii="仿宋_GB2312" w:eastAsia="仿宋_GB2312"/>
          <w:color w:val="000000"/>
          <w:sz w:val="32"/>
          <w:szCs w:val="32"/>
        </w:rPr>
        <w:t>5.1万元。主要用于</w:t>
      </w:r>
      <w:r>
        <w:rPr>
          <w:rFonts w:hint="eastAsia" w:eastAsia="仿宋_GB2312"/>
          <w:color w:val="000000"/>
          <w:sz w:val="32"/>
          <w:szCs w:val="32"/>
        </w:rPr>
        <w:t>增加了城乡生活垃圾集中外运经费，城区和部份新区环卫清扫保洁、垃圾一级转运和公厕管理购买服务及</w:t>
      </w:r>
      <w:r>
        <w:rPr>
          <w:rFonts w:hint="eastAsia" w:ascii="仿宋_GB2312" w:eastAsia="仿宋_GB2312"/>
          <w:color w:val="000000"/>
          <w:sz w:val="32"/>
          <w:szCs w:val="32"/>
        </w:rPr>
        <w:t>街面执法等所需的公务用车燃料费、维修费、过路过桥费、保险费等支出。</w:t>
      </w:r>
    </w:p>
    <w:p>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3.公务接待费支出</w:t>
      </w:r>
      <w:r>
        <w:rPr>
          <w:rFonts w:hint="eastAsia" w:ascii="仿宋_GB2312" w:eastAsia="仿宋_GB2312"/>
          <w:color w:val="000000"/>
          <w:sz w:val="32"/>
          <w:szCs w:val="32"/>
        </w:rPr>
        <w:t>0.6万元，</w:t>
      </w:r>
      <w:r>
        <w:rPr>
          <w:rFonts w:hint="eastAsia" w:ascii="仿宋_GB2312" w:eastAsia="仿宋_GB2312"/>
          <w:sz w:val="32"/>
          <w:szCs w:val="32"/>
        </w:rPr>
        <w:t>完成预算100</w:t>
      </w:r>
      <w:r>
        <w:rPr>
          <w:rFonts w:ascii="仿宋_GB2312" w:eastAsia="仿宋_GB2312"/>
          <w:sz w:val="32"/>
          <w:szCs w:val="32"/>
        </w:rPr>
        <w:t>%</w:t>
      </w:r>
      <w:r>
        <w:rPr>
          <w:rFonts w:hint="eastAsia" w:ascii="仿宋_GB2312" w:eastAsia="仿宋_GB2312"/>
          <w:sz w:val="32"/>
          <w:szCs w:val="32"/>
        </w:rPr>
        <w:t>。</w:t>
      </w:r>
      <w:r>
        <w:rPr>
          <w:rFonts w:hint="eastAsia" w:ascii="仿宋_GB2312" w:eastAsia="仿宋_GB2312"/>
          <w:color w:val="000000"/>
          <w:sz w:val="32"/>
          <w:szCs w:val="32"/>
        </w:rPr>
        <w:t>公务接待费支出决算比2019年减少0.2万元。主要原因是认真贯彻中央、省、市县关于例行节约的各项要求，一步控制“三公经费”开支。</w:t>
      </w:r>
    </w:p>
    <w:p>
      <w:pPr>
        <w:spacing w:line="600" w:lineRule="exact"/>
        <w:ind w:firstLine="640" w:firstLineChars="200"/>
        <w:rPr>
          <w:rFonts w:ascii="仿宋_GB2312" w:eastAsia="仿宋_GB2312"/>
          <w:sz w:val="32"/>
          <w:szCs w:val="32"/>
        </w:rPr>
      </w:pPr>
      <w:r>
        <w:rPr>
          <w:rFonts w:hint="eastAsia" w:ascii="仿宋_GB2312" w:eastAsia="仿宋_GB2312"/>
          <w:color w:val="000000"/>
          <w:sz w:val="32"/>
          <w:szCs w:val="32"/>
        </w:rPr>
        <w:t>国内公务接</w:t>
      </w:r>
      <w:r>
        <w:rPr>
          <w:rFonts w:hint="eastAsia" w:ascii="仿宋_GB2312" w:eastAsia="仿宋_GB2312"/>
          <w:sz w:val="32"/>
          <w:szCs w:val="32"/>
        </w:rPr>
        <w:t>待支出 0.6万元，主要用于迎接上级检查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主要用于迎接上级检查(执行公务、开展业务活动开支的交通费、住宿费、用餐费等)</w:t>
      </w:r>
      <w:r>
        <w:rPr>
          <w:rFonts w:hint="eastAsia" w:ascii="仿宋_GB2312" w:eastAsia="仿宋_GB2312"/>
          <w:sz w:val="32"/>
          <w:szCs w:val="32"/>
          <w:highlight w:val="none"/>
        </w:rPr>
        <w:t>国内公务接待</w:t>
      </w:r>
      <w:r>
        <w:rPr>
          <w:rFonts w:hint="eastAsia" w:ascii="仿宋_GB2312" w:eastAsia="仿宋_GB2312"/>
          <w:sz w:val="32"/>
          <w:szCs w:val="32"/>
          <w:highlight w:val="none"/>
          <w:lang w:val="en-US" w:eastAsia="zh-CN"/>
        </w:rPr>
        <w:t>10</w:t>
      </w:r>
      <w:r>
        <w:rPr>
          <w:rFonts w:hint="eastAsia" w:ascii="仿宋_GB2312" w:eastAsia="仿宋_GB2312"/>
          <w:sz w:val="32"/>
          <w:szCs w:val="32"/>
          <w:highlight w:val="none"/>
        </w:rPr>
        <w:t>批次，</w:t>
      </w:r>
      <w:r>
        <w:rPr>
          <w:rFonts w:hint="eastAsia" w:ascii="仿宋_GB2312" w:eastAsia="仿宋_GB2312"/>
          <w:sz w:val="32"/>
          <w:szCs w:val="32"/>
          <w:highlight w:val="none"/>
          <w:lang w:val="en-US" w:eastAsia="zh-CN"/>
        </w:rPr>
        <w:t>100</w:t>
      </w:r>
      <w:r>
        <w:rPr>
          <w:rFonts w:hint="eastAsia" w:ascii="仿宋_GB2312" w:eastAsia="仿宋_GB2312"/>
          <w:sz w:val="32"/>
          <w:szCs w:val="32"/>
          <w:highlight w:val="none"/>
        </w:rPr>
        <w:t>人次，共计支出0.6万元。</w:t>
      </w:r>
      <w:r>
        <w:rPr>
          <w:rFonts w:hint="eastAsia" w:ascii="仿宋" w:hAnsi="仿宋" w:eastAsia="仿宋"/>
          <w:b/>
          <w:sz w:val="32"/>
          <w:szCs w:val="32"/>
          <w:highlight w:val="none"/>
        </w:rPr>
        <w:t>外事</w:t>
      </w:r>
      <w:r>
        <w:rPr>
          <w:rFonts w:hint="eastAsia" w:ascii="仿宋" w:hAnsi="仿宋" w:eastAsia="仿宋"/>
          <w:b/>
          <w:sz w:val="32"/>
          <w:szCs w:val="32"/>
        </w:rPr>
        <w:t>接待支出</w:t>
      </w:r>
      <w:r>
        <w:rPr>
          <w:rFonts w:hint="eastAsia" w:ascii="仿宋" w:hAnsi="仿宋" w:eastAsia="仿宋"/>
          <w:sz w:val="32"/>
          <w:szCs w:val="32"/>
        </w:rPr>
        <w:t>0</w:t>
      </w:r>
      <w:r>
        <w:rPr>
          <w:rFonts w:hint="eastAsia" w:ascii="仿宋_GB2312" w:eastAsia="仿宋_GB2312"/>
          <w:sz w:val="32"/>
          <w:szCs w:val="32"/>
        </w:rPr>
        <w:t>万元，外事接待0批次，共0人，共计支出0万元。</w:t>
      </w:r>
    </w:p>
    <w:bookmarkEnd w:id="32"/>
    <w:bookmarkEnd w:id="33"/>
    <w:p>
      <w:pPr>
        <w:spacing w:line="600" w:lineRule="exact"/>
        <w:ind w:firstLine="640"/>
        <w:outlineLvl w:val="1"/>
        <w:rPr>
          <w:rStyle w:val="27"/>
          <w:rFonts w:ascii="黑体" w:hAnsi="黑体" w:eastAsia="黑体"/>
        </w:rPr>
      </w:pPr>
      <w:r>
        <w:rPr>
          <w:rFonts w:hint="eastAsia" w:ascii="黑体" w:eastAsia="黑体"/>
          <w:color w:val="000000"/>
          <w:sz w:val="32"/>
          <w:szCs w:val="32"/>
          <w:lang w:eastAsia="zh-CN"/>
        </w:rPr>
        <w:t>八</w:t>
      </w:r>
      <w:r>
        <w:rPr>
          <w:rFonts w:hint="eastAsia" w:ascii="黑体" w:eastAsia="黑体"/>
          <w:color w:val="000000"/>
          <w:sz w:val="32"/>
          <w:szCs w:val="32"/>
        </w:rPr>
        <w:t>、</w:t>
      </w:r>
      <w:r>
        <w:rPr>
          <w:rStyle w:val="27"/>
          <w:rFonts w:hint="eastAsia" w:ascii="黑体" w:hAnsi="黑体" w:eastAsia="黑体"/>
          <w:b w:val="0"/>
        </w:rPr>
        <w:t>政府性基金预算支出决算情况说明</w:t>
      </w:r>
    </w:p>
    <w:p>
      <w:pPr>
        <w:spacing w:line="600" w:lineRule="exact"/>
        <w:ind w:firstLine="640"/>
        <w:rPr>
          <w:rFonts w:ascii="仿宋_GB2312" w:eastAsia="仿宋_GB2312"/>
          <w:color w:val="000000"/>
          <w:sz w:val="32"/>
          <w:szCs w:val="32"/>
        </w:rPr>
      </w:pPr>
      <w:r>
        <w:rPr>
          <w:rFonts w:ascii="仿宋_GB2312" w:eastAsia="仿宋_GB2312"/>
          <w:color w:val="000000"/>
          <w:sz w:val="32"/>
          <w:szCs w:val="32"/>
        </w:rPr>
        <w:t>2020</w:t>
      </w:r>
      <w:r>
        <w:rPr>
          <w:rFonts w:hint="eastAsia" w:ascii="仿宋_GB2312" w:eastAsia="仿宋_GB2312"/>
          <w:color w:val="000000"/>
          <w:sz w:val="32"/>
          <w:szCs w:val="32"/>
        </w:rPr>
        <w:t>年政府性基金预算拨款支出0万元。</w:t>
      </w:r>
    </w:p>
    <w:p>
      <w:pPr>
        <w:spacing w:line="600" w:lineRule="exact"/>
        <w:ind w:firstLine="640" w:firstLineChars="200"/>
        <w:outlineLvl w:val="1"/>
        <w:rPr>
          <w:rStyle w:val="27"/>
          <w:rFonts w:ascii="黑体" w:hAnsi="黑体" w:eastAsia="黑体"/>
          <w:b w:val="0"/>
        </w:rPr>
      </w:pPr>
      <w:bookmarkStart w:id="36" w:name="_Toc15377219"/>
      <w:bookmarkStart w:id="37" w:name="_Toc15396611"/>
      <w:r>
        <w:rPr>
          <w:rStyle w:val="27"/>
          <w:rFonts w:hint="eastAsia" w:ascii="黑体" w:hAnsi="黑体" w:eastAsia="黑体"/>
          <w:b w:val="0"/>
          <w:lang w:eastAsia="zh-CN"/>
        </w:rPr>
        <w:t>九</w:t>
      </w:r>
      <w:r>
        <w:rPr>
          <w:rStyle w:val="27"/>
          <w:rFonts w:hint="eastAsia" w:ascii="黑体" w:hAnsi="黑体" w:eastAsia="黑体"/>
          <w:b w:val="0"/>
        </w:rPr>
        <w:t>、国有资本经营预算支出决算情况说明</w:t>
      </w:r>
      <w:bookmarkEnd w:id="36"/>
      <w:bookmarkEnd w:id="37"/>
    </w:p>
    <w:p>
      <w:pPr>
        <w:spacing w:line="600" w:lineRule="exact"/>
        <w:ind w:firstLine="640"/>
        <w:rPr>
          <w:rFonts w:ascii="仿宋_GB2312" w:eastAsia="仿宋_GB2312"/>
          <w:color w:val="000000"/>
          <w:sz w:val="32"/>
          <w:szCs w:val="32"/>
        </w:rPr>
      </w:pPr>
      <w:r>
        <w:rPr>
          <w:rFonts w:ascii="仿宋_GB2312" w:eastAsia="仿宋_GB2312"/>
          <w:color w:val="000000"/>
          <w:sz w:val="32"/>
          <w:szCs w:val="32"/>
        </w:rPr>
        <w:t>2020</w:t>
      </w:r>
      <w:r>
        <w:rPr>
          <w:rFonts w:hint="eastAsia" w:ascii="仿宋_GB2312" w:eastAsia="仿宋_GB2312"/>
          <w:color w:val="000000"/>
          <w:sz w:val="32"/>
          <w:szCs w:val="32"/>
        </w:rPr>
        <w:t>年国有资本经营预算拨款支出0万元。</w:t>
      </w:r>
    </w:p>
    <w:p>
      <w:pPr>
        <w:spacing w:line="600" w:lineRule="exact"/>
        <w:ind w:firstLine="643" w:firstLineChars="200"/>
        <w:outlineLvl w:val="1"/>
        <w:rPr>
          <w:rStyle w:val="27"/>
          <w:rFonts w:ascii="黑体" w:hAnsi="黑体" w:eastAsia="黑体"/>
        </w:rPr>
      </w:pPr>
      <w:r>
        <w:rPr>
          <w:rStyle w:val="27"/>
          <w:rFonts w:hint="eastAsia" w:ascii="黑体" w:hAnsi="黑体" w:eastAsia="黑体"/>
          <w:lang w:eastAsia="zh-CN"/>
        </w:rPr>
        <w:t>十</w:t>
      </w:r>
      <w:r>
        <w:rPr>
          <w:rStyle w:val="27"/>
          <w:rFonts w:hint="eastAsia" w:ascii="黑体" w:hAnsi="黑体" w:eastAsia="黑体"/>
        </w:rPr>
        <w:t>、</w:t>
      </w:r>
      <w:r>
        <w:rPr>
          <w:rStyle w:val="27"/>
          <w:rFonts w:hint="eastAsia" w:ascii="黑体" w:hAnsi="黑体" w:eastAsia="黑体"/>
          <w:b w:val="0"/>
        </w:rPr>
        <w:t>其他重要事项的情况说明</w:t>
      </w:r>
    </w:p>
    <w:p>
      <w:pPr>
        <w:spacing w:line="600" w:lineRule="exact"/>
        <w:ind w:firstLine="643" w:firstLineChars="200"/>
        <w:outlineLvl w:val="2"/>
        <w:rPr>
          <w:rFonts w:ascii="仿宋" w:hAnsi="仿宋" w:eastAsia="仿宋"/>
          <w:color w:val="000000"/>
          <w:sz w:val="32"/>
          <w:szCs w:val="32"/>
        </w:rPr>
      </w:pPr>
      <w:r>
        <w:rPr>
          <w:rFonts w:hint="eastAsia" w:ascii="仿宋" w:hAnsi="仿宋" w:eastAsia="仿宋"/>
          <w:b/>
          <w:color w:val="000000"/>
          <w:sz w:val="32"/>
          <w:szCs w:val="32"/>
        </w:rPr>
        <w:t>（一）机关运行经费支出情况</w:t>
      </w:r>
    </w:p>
    <w:p>
      <w:pPr>
        <w:spacing w:line="560" w:lineRule="exact"/>
        <w:ind w:firstLine="640" w:firstLineChars="200"/>
        <w:rPr>
          <w:rFonts w:ascii="仿宋_GB2312" w:eastAsia="仿宋_GB2312"/>
          <w:color w:val="000000" w:themeColor="text1"/>
          <w:sz w:val="32"/>
          <w:szCs w:val="32"/>
        </w:rPr>
      </w:pPr>
      <w:r>
        <w:rPr>
          <w:rFonts w:ascii="仿宋_GB2312" w:eastAsia="仿宋_GB2312"/>
          <w:color w:val="000000"/>
          <w:sz w:val="32"/>
          <w:szCs w:val="32"/>
        </w:rPr>
        <w:t>2020</w:t>
      </w:r>
      <w:r>
        <w:rPr>
          <w:rFonts w:hint="eastAsia" w:ascii="仿宋_GB2312" w:eastAsia="仿宋_GB2312"/>
          <w:color w:val="000000"/>
          <w:sz w:val="32"/>
          <w:szCs w:val="32"/>
        </w:rPr>
        <w:t>年，综合行政执法局机关运行经费支出221.3万元，比</w:t>
      </w:r>
      <w:r>
        <w:rPr>
          <w:rFonts w:ascii="仿宋_GB2312" w:eastAsia="仿宋_GB2312"/>
          <w:color w:val="000000"/>
          <w:sz w:val="32"/>
          <w:szCs w:val="32"/>
        </w:rPr>
        <w:t>201</w:t>
      </w:r>
      <w:r>
        <w:rPr>
          <w:rFonts w:hint="eastAsia" w:ascii="仿宋_GB2312" w:eastAsia="仿宋_GB2312"/>
          <w:color w:val="000000"/>
          <w:sz w:val="32"/>
          <w:szCs w:val="32"/>
        </w:rPr>
        <w:t>9年增加40.83万元，增加22.62</w:t>
      </w:r>
      <w:r>
        <w:rPr>
          <w:rFonts w:ascii="仿宋_GB2312" w:eastAsia="仿宋_GB2312"/>
          <w:color w:val="000000"/>
          <w:sz w:val="32"/>
          <w:szCs w:val="32"/>
        </w:rPr>
        <w:t>%</w:t>
      </w:r>
      <w:r>
        <w:rPr>
          <w:rFonts w:hint="eastAsia" w:ascii="仿宋_GB2312" w:eastAsia="仿宋_GB2312"/>
          <w:color w:val="000000"/>
          <w:sz w:val="32"/>
          <w:szCs w:val="32"/>
        </w:rPr>
        <w:t>。</w:t>
      </w:r>
      <w:r>
        <w:rPr>
          <w:rFonts w:hint="eastAsia" w:ascii="仿宋_GB2312" w:eastAsia="仿宋_GB2312"/>
          <w:color w:val="000000" w:themeColor="text1"/>
          <w:sz w:val="32"/>
          <w:szCs w:val="32"/>
        </w:rPr>
        <w:t>主要原因是：预算调整，人员变动等原因。</w:t>
      </w:r>
    </w:p>
    <w:p>
      <w:pPr>
        <w:spacing w:line="560" w:lineRule="exact"/>
        <w:ind w:firstLine="643" w:firstLineChars="200"/>
        <w:rPr>
          <w:rFonts w:ascii="仿宋" w:hAnsi="仿宋" w:eastAsia="仿宋"/>
          <w:b/>
          <w:color w:val="000000"/>
          <w:sz w:val="32"/>
          <w:szCs w:val="32"/>
        </w:rPr>
      </w:pPr>
      <w:r>
        <w:rPr>
          <w:rFonts w:hint="eastAsia" w:ascii="仿宋" w:hAnsi="仿宋" w:eastAsia="仿宋"/>
          <w:b/>
          <w:color w:val="000000"/>
          <w:sz w:val="32"/>
          <w:szCs w:val="32"/>
        </w:rPr>
        <w:t>（二）政府采购支出情况</w:t>
      </w:r>
    </w:p>
    <w:p>
      <w:pPr>
        <w:spacing w:line="600" w:lineRule="exact"/>
        <w:ind w:firstLine="640" w:firstLineChars="200"/>
        <w:rPr>
          <w:rFonts w:ascii="仿宋_GB2312" w:eastAsia="仿宋_GB2312"/>
          <w:sz w:val="32"/>
          <w:szCs w:val="32"/>
        </w:rPr>
      </w:pPr>
      <w:r>
        <w:rPr>
          <w:rFonts w:ascii="仿宋_GB2312" w:eastAsia="仿宋_GB2312"/>
          <w:sz w:val="32"/>
          <w:szCs w:val="32"/>
        </w:rPr>
        <w:t>2020</w:t>
      </w:r>
      <w:r>
        <w:rPr>
          <w:rFonts w:hint="eastAsia" w:ascii="仿宋_GB2312" w:eastAsia="仿宋_GB2312"/>
          <w:sz w:val="32"/>
          <w:szCs w:val="32"/>
        </w:rPr>
        <w:t>年综合行政执法局政府采购支出总额435.27万元，其中：政府采购货物支出66.27万元、主要用于办公设备及执法服装采购；政府项目采购369万、主要用于三房湾垃圾填埋场垃圾渗滤液收集及处理设施升级改造。</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38" w:name="_Toc15377224"/>
      <w:r>
        <w:rPr>
          <w:rFonts w:hint="eastAsia" w:ascii="仿宋" w:hAnsi="仿宋" w:eastAsia="仿宋"/>
          <w:b/>
          <w:color w:val="000000"/>
          <w:sz w:val="32"/>
          <w:szCs w:val="32"/>
        </w:rPr>
        <w:t>（三）国有资产占有使用情况</w:t>
      </w:r>
      <w:bookmarkEnd w:id="38"/>
    </w:p>
    <w:p>
      <w:pPr>
        <w:autoSpaceDE w:val="0"/>
        <w:autoSpaceDN w:val="0"/>
        <w:adjustRightInd w:val="0"/>
        <w:spacing w:line="600" w:lineRule="exact"/>
        <w:ind w:firstLine="640" w:firstLineChars="200"/>
        <w:jc w:val="left"/>
        <w:rPr>
          <w:rFonts w:ascii="方正小标宋简体" w:hAnsi="方正小标宋简体" w:eastAsia="方正小标宋简体" w:cs="方正小标宋简体"/>
          <w:sz w:val="44"/>
          <w:szCs w:val="44"/>
          <w:highlight w:val="yellow"/>
        </w:rPr>
      </w:pPr>
      <w:r>
        <w:rPr>
          <w:rFonts w:hint="eastAsia" w:ascii="仿宋_GB2312" w:eastAsia="仿宋_GB2312"/>
          <w:color w:val="000000"/>
          <w:sz w:val="32"/>
          <w:szCs w:val="32"/>
        </w:rPr>
        <w:t>截至</w:t>
      </w:r>
      <w:r>
        <w:rPr>
          <w:rFonts w:ascii="仿宋_GB2312" w:eastAsia="仿宋_GB2312"/>
          <w:color w:val="000000"/>
          <w:sz w:val="32"/>
          <w:szCs w:val="32"/>
        </w:rPr>
        <w:t>2020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w:t>
      </w:r>
      <w:r>
        <w:rPr>
          <w:rFonts w:hint="eastAsia" w:ascii="仿宋_GB2312" w:eastAsia="仿宋_GB2312"/>
          <w:sz w:val="32"/>
          <w:szCs w:val="32"/>
        </w:rPr>
        <w:t>综合行政执法局共有车辆</w:t>
      </w:r>
      <w:r>
        <w:rPr>
          <w:rFonts w:hint="eastAsia" w:ascii="仿宋_GB2312" w:eastAsia="仿宋_GB2312"/>
          <w:sz w:val="32"/>
          <w:szCs w:val="32"/>
          <w:lang w:val="en-US" w:eastAsia="zh-CN"/>
        </w:rPr>
        <w:t>37</w:t>
      </w:r>
      <w:r>
        <w:rPr>
          <w:rFonts w:hint="eastAsia" w:ascii="仿宋_GB2312" w:eastAsia="仿宋_GB2312"/>
          <w:sz w:val="32"/>
          <w:szCs w:val="32"/>
        </w:rPr>
        <w:t>辆，</w:t>
      </w:r>
      <w:r>
        <w:rPr>
          <w:rFonts w:hint="eastAsia" w:ascii="仿宋_GB2312" w:eastAsia="仿宋_GB2312"/>
          <w:color w:val="000000"/>
          <w:sz w:val="32"/>
          <w:szCs w:val="32"/>
        </w:rPr>
        <w:t>其中：执法执勤用车6辆、特种专业技术用车</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辆、其他车辆</w:t>
      </w:r>
      <w:r>
        <w:rPr>
          <w:rFonts w:hint="eastAsia" w:ascii="仿宋_GB2312" w:eastAsia="仿宋_GB2312"/>
          <w:color w:val="000000"/>
          <w:sz w:val="32"/>
          <w:szCs w:val="32"/>
          <w:lang w:val="en-US" w:eastAsia="zh-CN"/>
        </w:rPr>
        <w:t>30</w:t>
      </w:r>
      <w:r>
        <w:rPr>
          <w:rFonts w:hint="eastAsia" w:ascii="仿宋_GB2312" w:eastAsia="仿宋_GB2312"/>
          <w:color w:val="000000"/>
          <w:sz w:val="32"/>
          <w:szCs w:val="32"/>
        </w:rPr>
        <w:t>辆。</w:t>
      </w:r>
      <w:r>
        <w:rPr>
          <w:rFonts w:hint="eastAsia" w:ascii="仿宋_GB2312" w:eastAsia="仿宋_GB2312"/>
          <w:color w:val="000000" w:themeColor="text1"/>
          <w:sz w:val="32"/>
          <w:szCs w:val="32"/>
        </w:rPr>
        <w:t>单价</w:t>
      </w:r>
      <w:r>
        <w:rPr>
          <w:rFonts w:ascii="仿宋_GB2312" w:eastAsia="仿宋_GB2312"/>
          <w:color w:val="000000" w:themeColor="text1"/>
          <w:sz w:val="32"/>
          <w:szCs w:val="32"/>
        </w:rPr>
        <w:t>50</w:t>
      </w:r>
      <w:r>
        <w:rPr>
          <w:rFonts w:hint="eastAsia" w:ascii="仿宋_GB2312" w:eastAsia="仿宋_GB2312"/>
          <w:color w:val="000000" w:themeColor="text1"/>
          <w:sz w:val="32"/>
          <w:szCs w:val="32"/>
        </w:rPr>
        <w:t>万元以上通用设备</w:t>
      </w:r>
      <w:r>
        <w:rPr>
          <w:rFonts w:hint="eastAsia" w:ascii="仿宋_GB2312" w:eastAsia="仿宋_GB2312"/>
          <w:color w:val="000000"/>
          <w:sz w:val="32"/>
          <w:szCs w:val="32"/>
        </w:rPr>
        <w:t>0</w:t>
      </w:r>
      <w:r>
        <w:rPr>
          <w:rFonts w:hint="eastAsia" w:ascii="仿宋_GB2312" w:eastAsia="仿宋_GB2312"/>
          <w:color w:val="000000" w:themeColor="text1"/>
          <w:sz w:val="32"/>
          <w:szCs w:val="32"/>
        </w:rPr>
        <w:t>台（套），单价</w:t>
      </w:r>
      <w:r>
        <w:rPr>
          <w:rFonts w:ascii="仿宋_GB2312" w:eastAsia="仿宋_GB2312"/>
          <w:color w:val="000000" w:themeColor="text1"/>
          <w:sz w:val="32"/>
          <w:szCs w:val="32"/>
        </w:rPr>
        <w:t>100</w:t>
      </w:r>
      <w:r>
        <w:rPr>
          <w:rFonts w:hint="eastAsia" w:ascii="仿宋_GB2312" w:eastAsia="仿宋_GB2312"/>
          <w:color w:val="000000"/>
          <w:sz w:val="32"/>
          <w:szCs w:val="32"/>
        </w:rPr>
        <w:t>万元以上专用设备0台（套）。</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r>
        <w:rPr>
          <w:rFonts w:hint="eastAsia" w:ascii="仿宋" w:hAnsi="仿宋" w:eastAsia="仿宋"/>
          <w:b/>
          <w:color w:val="000000"/>
          <w:sz w:val="32"/>
          <w:szCs w:val="32"/>
        </w:rPr>
        <w:t>（四）预算绩效管理情况。</w:t>
      </w:r>
    </w:p>
    <w:p>
      <w:pPr>
        <w:spacing w:line="560" w:lineRule="exact"/>
        <w:ind w:firstLine="640" w:firstLineChars="200"/>
        <w:rPr>
          <w:rFonts w:eastAsia="仿宋_GB2312"/>
          <w:sz w:val="32"/>
          <w:szCs w:val="32"/>
        </w:rPr>
      </w:pPr>
      <w:r>
        <w:rPr>
          <w:rFonts w:eastAsia="仿宋_GB2312"/>
          <w:sz w:val="32"/>
          <w:szCs w:val="32"/>
        </w:rPr>
        <w:t>根据预算绩效管理要求，本单位在年初预算编制阶段，</w:t>
      </w:r>
      <w:r>
        <w:rPr>
          <w:rFonts w:hint="eastAsia" w:eastAsia="仿宋_GB2312"/>
          <w:sz w:val="32"/>
          <w:szCs w:val="32"/>
        </w:rPr>
        <w:t>聘请专业技术人员</w:t>
      </w:r>
      <w:r>
        <w:rPr>
          <w:rFonts w:eastAsia="仿宋_GB2312"/>
          <w:sz w:val="32"/>
          <w:szCs w:val="32"/>
        </w:rPr>
        <w:t>组织对</w:t>
      </w:r>
      <w:r>
        <w:rPr>
          <w:rFonts w:hint="eastAsia" w:eastAsia="仿宋_GB2312"/>
          <w:sz w:val="32"/>
          <w:szCs w:val="32"/>
          <w:lang w:eastAsia="zh-CN"/>
        </w:rPr>
        <w:t>平昌县信义大道及周边区域环卫作业保洁市场化运行经费、</w:t>
      </w:r>
      <w:r>
        <w:rPr>
          <w:rFonts w:hint="eastAsia" w:eastAsia="仿宋_GB2312"/>
          <w:sz w:val="32"/>
          <w:szCs w:val="32"/>
        </w:rPr>
        <w:t>平昌县城镇垃圾集中转运项目年运行费</w:t>
      </w:r>
      <w:r>
        <w:rPr>
          <w:rFonts w:hint="eastAsia" w:eastAsia="仿宋_GB2312"/>
          <w:sz w:val="32"/>
          <w:szCs w:val="32"/>
          <w:lang w:eastAsia="zh-CN"/>
        </w:rPr>
        <w:t>、公共设施维护排危专项经费（含城市公厕）</w:t>
      </w:r>
      <w:r>
        <w:rPr>
          <w:rFonts w:hint="eastAsia" w:eastAsia="仿宋_GB2312"/>
          <w:sz w:val="32"/>
          <w:szCs w:val="32"/>
        </w:rPr>
        <w:t>等项目</w:t>
      </w:r>
      <w:r>
        <w:rPr>
          <w:rFonts w:eastAsia="仿宋_GB2312"/>
          <w:sz w:val="32"/>
          <w:szCs w:val="32"/>
        </w:rPr>
        <w:t>开展了预算事前绩效评估，对</w:t>
      </w:r>
      <w:r>
        <w:rPr>
          <w:rFonts w:hint="eastAsia" w:eastAsia="仿宋_GB2312"/>
          <w:sz w:val="32"/>
          <w:szCs w:val="32"/>
          <w:lang w:val="en-US" w:eastAsia="zh-CN"/>
        </w:rPr>
        <w:t>3</w:t>
      </w:r>
      <w:r>
        <w:rPr>
          <w:rFonts w:eastAsia="仿宋_GB2312"/>
          <w:sz w:val="32"/>
          <w:szCs w:val="32"/>
        </w:rPr>
        <w:t>个项目编制了绩效目标，预算执行过程中，选取</w:t>
      </w:r>
      <w:r>
        <w:rPr>
          <w:rFonts w:hint="eastAsia" w:eastAsia="仿宋_GB2312"/>
          <w:sz w:val="32"/>
          <w:szCs w:val="32"/>
          <w:lang w:val="en-US" w:eastAsia="zh-CN"/>
        </w:rPr>
        <w:t>3</w:t>
      </w:r>
      <w:r>
        <w:rPr>
          <w:rFonts w:eastAsia="仿宋_GB2312"/>
          <w:sz w:val="32"/>
          <w:szCs w:val="32"/>
        </w:rPr>
        <w:t>个项目开展绩效监控，年终执行完毕后，对</w:t>
      </w:r>
      <w:r>
        <w:rPr>
          <w:rFonts w:hint="eastAsia" w:eastAsia="仿宋_GB2312"/>
          <w:sz w:val="32"/>
          <w:szCs w:val="32"/>
          <w:lang w:val="en-US" w:eastAsia="zh-CN"/>
        </w:rPr>
        <w:t>3</w:t>
      </w:r>
      <w:r>
        <w:rPr>
          <w:rFonts w:hint="eastAsia" w:eastAsia="仿宋_GB2312"/>
          <w:sz w:val="32"/>
          <w:szCs w:val="32"/>
        </w:rPr>
        <w:t>个</w:t>
      </w:r>
      <w:r>
        <w:rPr>
          <w:rFonts w:eastAsia="仿宋_GB2312"/>
          <w:sz w:val="32"/>
          <w:szCs w:val="32"/>
        </w:rPr>
        <w:t>项目开展了绩效目标完成情况梳理填报。</w:t>
      </w:r>
    </w:p>
    <w:p>
      <w:pPr>
        <w:spacing w:line="560" w:lineRule="exact"/>
        <w:ind w:firstLine="645"/>
        <w:rPr>
          <w:rFonts w:ascii="仿宋_GB2312" w:hAnsi="微软雅黑" w:eastAsia="仿宋_GB2312"/>
          <w:color w:val="000000"/>
          <w:sz w:val="32"/>
          <w:szCs w:val="32"/>
          <w:shd w:val="clear" w:color="auto" w:fill="FFFFFF"/>
        </w:rPr>
      </w:pPr>
      <w:r>
        <w:rPr>
          <w:rFonts w:eastAsia="仿宋_GB2312"/>
          <w:sz w:val="32"/>
          <w:szCs w:val="32"/>
        </w:rPr>
        <w:t>本部门按要求对2020年部门整体支出开展绩效自评，从评价情况来看</w:t>
      </w:r>
      <w:r>
        <w:rPr>
          <w:rFonts w:hint="eastAsia" w:eastAsia="仿宋_GB2312"/>
          <w:sz w:val="32"/>
          <w:szCs w:val="32"/>
        </w:rPr>
        <w:t>一是保障了单位在职人员工资按时发放正常办公需求和退休人员、抚育抚养人员生活补助；二是按时按质完成了县委县政府安排的各项工作任务，维护了县城建成区主要街道的清扫保洁、垃圾清运、市政环卫设施的清洗维护、垃圾无害化处理及市容秩序管护，提高了财政资金的使用效益，促进了党风廉政建设，保障了国民经济和社会健康发展。</w:t>
      </w:r>
      <w:r>
        <w:rPr>
          <w:rFonts w:eastAsia="仿宋_GB2312"/>
          <w:sz w:val="32"/>
          <w:szCs w:val="32"/>
        </w:rPr>
        <w:t>本部门还自行组织了</w:t>
      </w:r>
      <w:r>
        <w:rPr>
          <w:rFonts w:hint="eastAsia" w:eastAsia="仿宋_GB2312"/>
          <w:sz w:val="32"/>
          <w:szCs w:val="32"/>
          <w:lang w:val="en-US" w:eastAsia="zh-CN"/>
        </w:rPr>
        <w:t>3</w:t>
      </w:r>
      <w:r>
        <w:rPr>
          <w:rFonts w:eastAsia="仿宋_GB2312"/>
          <w:sz w:val="32"/>
          <w:szCs w:val="32"/>
        </w:rPr>
        <w:t>个项目绩效评价，从评价情况来看</w:t>
      </w:r>
      <w:r>
        <w:rPr>
          <w:rFonts w:hint="eastAsia" w:eastAsia="仿宋_GB2312"/>
          <w:sz w:val="32"/>
          <w:szCs w:val="32"/>
        </w:rPr>
        <w:t>平昌县城镇垃圾集中转运项目运行费和平昌县清扫保洁市场化运行费项目资金的使用达到预期效益，</w:t>
      </w:r>
      <w:r>
        <w:rPr>
          <w:rFonts w:hint="eastAsia" w:ascii="仿宋_GB2312" w:hAnsi="微软雅黑" w:eastAsia="仿宋_GB2312"/>
          <w:color w:val="000000"/>
          <w:sz w:val="32"/>
          <w:szCs w:val="32"/>
          <w:shd w:val="clear" w:color="auto" w:fill="FFFFFF"/>
        </w:rPr>
        <w:t>有效解决了我县城乡生活垃圾处置不规范，污染环境等问题。</w:t>
      </w:r>
    </w:p>
    <w:p>
      <w:pPr>
        <w:widowControl/>
        <w:shd w:val="clear" w:color="auto" w:fill="FFFFFF"/>
        <w:spacing w:line="377" w:lineRule="atLeast"/>
        <w:ind w:firstLine="640" w:firstLineChars="200"/>
        <w:jc w:val="left"/>
        <w:rPr>
          <w:rFonts w:eastAsia="仿宋_GB2312"/>
          <w:sz w:val="32"/>
          <w:szCs w:val="32"/>
        </w:rPr>
      </w:pPr>
      <w:r>
        <w:rPr>
          <w:rFonts w:hint="eastAsia" w:ascii="楷体_GB2312" w:hAnsi="楷体_GB2312" w:eastAsia="楷体_GB2312" w:cs="楷体_GB2312"/>
          <w:sz w:val="32"/>
          <w:szCs w:val="32"/>
        </w:rPr>
        <w:t>1.项目绩效目标完成情况。</w:t>
      </w:r>
    </w:p>
    <w:p>
      <w:pPr>
        <w:widowControl/>
        <w:shd w:val="clear" w:color="auto" w:fill="FFFFFF"/>
        <w:spacing w:line="377" w:lineRule="atLeast"/>
        <w:ind w:firstLine="640" w:firstLineChars="200"/>
        <w:jc w:val="left"/>
        <w:rPr>
          <w:rFonts w:eastAsia="仿宋_GB2312"/>
          <w:sz w:val="32"/>
          <w:szCs w:val="32"/>
        </w:rPr>
      </w:pPr>
      <w:r>
        <w:rPr>
          <w:rFonts w:eastAsia="仿宋_GB2312"/>
          <w:sz w:val="32"/>
          <w:szCs w:val="32"/>
        </w:rPr>
        <w:t xml:space="preserve"> 本部门在20</w:t>
      </w:r>
      <w:r>
        <w:rPr>
          <w:rFonts w:hint="eastAsia" w:eastAsia="仿宋_GB2312"/>
          <w:sz w:val="32"/>
          <w:szCs w:val="32"/>
          <w:lang w:val="en-US" w:eastAsia="zh-CN"/>
        </w:rPr>
        <w:t>20</w:t>
      </w:r>
      <w:r>
        <w:rPr>
          <w:rFonts w:eastAsia="仿宋_GB2312"/>
          <w:sz w:val="32"/>
          <w:szCs w:val="32"/>
        </w:rPr>
        <w:t>年度部门决算中反映</w:t>
      </w:r>
      <w:r>
        <w:rPr>
          <w:rFonts w:hint="eastAsia" w:eastAsia="仿宋_GB2312"/>
          <w:sz w:val="32"/>
          <w:szCs w:val="32"/>
        </w:rPr>
        <w:t>对</w:t>
      </w:r>
      <w:r>
        <w:rPr>
          <w:rFonts w:eastAsia="仿宋_GB2312"/>
          <w:sz w:val="32"/>
          <w:szCs w:val="32"/>
        </w:rPr>
        <w:t>“</w:t>
      </w:r>
      <w:r>
        <w:rPr>
          <w:rFonts w:hint="eastAsia" w:eastAsia="仿宋_GB2312"/>
          <w:sz w:val="32"/>
          <w:szCs w:val="32"/>
          <w:lang w:eastAsia="zh-CN"/>
        </w:rPr>
        <w:t>平昌县信义大道及周边区域环卫作业保洁市场化运行经费</w:t>
      </w:r>
      <w:r>
        <w:rPr>
          <w:rFonts w:hint="eastAsia" w:eastAsia="仿宋_GB2312"/>
          <w:sz w:val="32"/>
          <w:szCs w:val="32"/>
        </w:rPr>
        <w:t>”</w:t>
      </w:r>
      <w:r>
        <w:rPr>
          <w:rFonts w:hint="eastAsia" w:eastAsia="仿宋_GB2312"/>
          <w:sz w:val="32"/>
          <w:szCs w:val="32"/>
          <w:lang w:eastAsia="zh-CN"/>
        </w:rPr>
        <w:t>、“平昌县城镇垃圾集中转运项目运行费”</w:t>
      </w:r>
      <w:r>
        <w:rPr>
          <w:rFonts w:hint="eastAsia" w:eastAsia="仿宋_GB2312"/>
          <w:color w:val="auto"/>
          <w:sz w:val="32"/>
          <w:szCs w:val="32"/>
          <w:lang w:eastAsia="zh-CN"/>
        </w:rPr>
        <w:t>、</w:t>
      </w:r>
      <w:r>
        <w:rPr>
          <w:rFonts w:hint="eastAsia" w:eastAsia="仿宋_GB2312"/>
          <w:sz w:val="32"/>
          <w:szCs w:val="32"/>
        </w:rPr>
        <w:t xml:space="preserve">“ </w:t>
      </w:r>
      <w:r>
        <w:rPr>
          <w:rFonts w:hint="eastAsia" w:eastAsia="仿宋_GB2312"/>
          <w:sz w:val="32"/>
          <w:szCs w:val="32"/>
          <w:lang w:eastAsia="zh-CN"/>
        </w:rPr>
        <w:t>公共设施维护排危专项经费（含城市公厕）</w:t>
      </w:r>
      <w:r>
        <w:rPr>
          <w:rFonts w:hint="eastAsia" w:eastAsia="仿宋_GB2312"/>
          <w:sz w:val="32"/>
          <w:szCs w:val="32"/>
        </w:rPr>
        <w:t>”3</w:t>
      </w:r>
      <w:r>
        <w:rPr>
          <w:rFonts w:eastAsia="仿宋_GB2312"/>
          <w:sz w:val="32"/>
          <w:szCs w:val="32"/>
        </w:rPr>
        <w:t>个项目绩效目标实际完成情况。</w:t>
      </w:r>
    </w:p>
    <w:p>
      <w:pPr>
        <w:spacing w:line="560" w:lineRule="exact"/>
        <w:ind w:firstLine="645"/>
        <w:rPr>
          <w:rFonts w:hint="eastAsia" w:ascii="仿宋_GB2312" w:hAnsi="微软雅黑" w:eastAsia="仿宋_GB2312"/>
          <w:color w:val="000000"/>
          <w:sz w:val="32"/>
          <w:szCs w:val="32"/>
          <w:shd w:val="clear" w:color="auto" w:fill="FFFFFF"/>
        </w:rPr>
      </w:pPr>
      <w:r>
        <w:rPr>
          <w:rFonts w:hint="eastAsia" w:eastAsia="仿宋_GB2312"/>
          <w:sz w:val="32"/>
          <w:szCs w:val="32"/>
          <w:lang w:eastAsia="zh-CN"/>
        </w:rPr>
        <w:t>（</w:t>
      </w:r>
      <w:r>
        <w:rPr>
          <w:rFonts w:hint="eastAsia" w:eastAsia="仿宋_GB2312"/>
          <w:sz w:val="32"/>
          <w:szCs w:val="32"/>
          <w:lang w:val="en-US" w:eastAsia="zh-CN"/>
        </w:rPr>
        <w:t>1</w:t>
      </w:r>
      <w:r>
        <w:rPr>
          <w:rFonts w:hint="eastAsia" w:eastAsia="仿宋_GB2312"/>
          <w:sz w:val="32"/>
          <w:szCs w:val="32"/>
          <w:lang w:eastAsia="zh-CN"/>
        </w:rPr>
        <w:t>）、</w:t>
      </w:r>
      <w:r>
        <w:rPr>
          <w:rFonts w:hint="eastAsia" w:eastAsia="仿宋_GB2312"/>
          <w:sz w:val="32"/>
          <w:szCs w:val="32"/>
        </w:rPr>
        <w:t>信义大道及周边区域环卫作业市场化运行费</w:t>
      </w:r>
      <w:r>
        <w:rPr>
          <w:rFonts w:eastAsia="仿宋_GB2312"/>
          <w:sz w:val="32"/>
          <w:szCs w:val="32"/>
        </w:rPr>
        <w:t>项目绩效目标完成情况综述。项目全年预算数</w:t>
      </w:r>
      <w:r>
        <w:rPr>
          <w:rFonts w:hint="eastAsia" w:eastAsia="仿宋_GB2312"/>
          <w:sz w:val="32"/>
          <w:szCs w:val="32"/>
        </w:rPr>
        <w:t>220</w:t>
      </w:r>
      <w:r>
        <w:rPr>
          <w:rFonts w:eastAsia="仿宋_GB2312"/>
          <w:sz w:val="32"/>
          <w:szCs w:val="32"/>
        </w:rPr>
        <w:t>万元，执行数为</w:t>
      </w:r>
      <w:r>
        <w:rPr>
          <w:rFonts w:hint="eastAsia" w:eastAsia="仿宋_GB2312"/>
          <w:sz w:val="32"/>
          <w:szCs w:val="32"/>
        </w:rPr>
        <w:t>220</w:t>
      </w:r>
      <w:r>
        <w:rPr>
          <w:rFonts w:eastAsia="仿宋_GB2312"/>
          <w:sz w:val="32"/>
          <w:szCs w:val="32"/>
        </w:rPr>
        <w:t>万元，完成预算的</w:t>
      </w:r>
      <w:r>
        <w:rPr>
          <w:rFonts w:hint="eastAsia" w:eastAsia="仿宋_GB2312"/>
          <w:sz w:val="32"/>
          <w:szCs w:val="32"/>
        </w:rPr>
        <w:t>100</w:t>
      </w:r>
      <w:r>
        <w:rPr>
          <w:rFonts w:eastAsia="仿宋_GB2312"/>
          <w:sz w:val="32"/>
          <w:szCs w:val="32"/>
        </w:rPr>
        <w:t>%。通过项目实施，</w:t>
      </w:r>
      <w:r>
        <w:rPr>
          <w:rFonts w:hint="eastAsia" w:ascii="仿宋_GB2312" w:hAnsi="微软雅黑" w:eastAsia="仿宋_GB2312"/>
          <w:color w:val="000000"/>
          <w:sz w:val="32"/>
          <w:szCs w:val="32"/>
          <w:shd w:val="clear" w:color="auto" w:fill="FFFFFF"/>
        </w:rPr>
        <w:t>有效提升信义大道及周边区域环境卫生清扫保洁质量。</w:t>
      </w:r>
    </w:p>
    <w:p>
      <w:pPr>
        <w:numPr>
          <w:ilvl w:val="0"/>
          <w:numId w:val="2"/>
        </w:numPr>
        <w:spacing w:line="560" w:lineRule="exact"/>
        <w:ind w:left="480" w:leftChars="0" w:firstLine="0" w:firstLineChars="0"/>
        <w:jc w:val="left"/>
        <w:rPr>
          <w:rFonts w:hint="eastAsia" w:ascii="仿宋_GB2312" w:hAnsi="微软雅黑" w:eastAsia="仿宋_GB2312"/>
          <w:color w:val="000000"/>
          <w:sz w:val="32"/>
          <w:szCs w:val="32"/>
          <w:shd w:val="clear" w:color="auto" w:fill="FFFFFF"/>
        </w:rPr>
      </w:pPr>
      <w:r>
        <w:rPr>
          <w:rFonts w:hint="eastAsia" w:eastAsia="仿宋_GB2312"/>
          <w:sz w:val="32"/>
          <w:szCs w:val="32"/>
          <w:lang w:val="en-US" w:eastAsia="zh-CN"/>
        </w:rPr>
        <w:t>、</w:t>
      </w:r>
      <w:r>
        <w:rPr>
          <w:rFonts w:hint="eastAsia" w:eastAsia="仿宋_GB2312"/>
          <w:sz w:val="32"/>
          <w:szCs w:val="32"/>
          <w:lang w:eastAsia="zh-CN"/>
        </w:rPr>
        <w:t>平昌县城镇垃圾集中转运</w:t>
      </w:r>
      <w:r>
        <w:rPr>
          <w:rFonts w:eastAsia="仿宋_GB2312"/>
          <w:sz w:val="32"/>
          <w:szCs w:val="32"/>
        </w:rPr>
        <w:t>项目绩效目标完成情况综述。项目全年预算数</w:t>
      </w:r>
      <w:r>
        <w:rPr>
          <w:rFonts w:hint="eastAsia" w:eastAsia="仿宋_GB2312"/>
          <w:sz w:val="32"/>
          <w:szCs w:val="32"/>
          <w:lang w:val="en-US" w:eastAsia="zh-CN"/>
        </w:rPr>
        <w:t>300</w:t>
      </w:r>
      <w:r>
        <w:rPr>
          <w:rFonts w:eastAsia="仿宋_GB2312"/>
          <w:sz w:val="32"/>
          <w:szCs w:val="32"/>
        </w:rPr>
        <w:t>万元，执行数为</w:t>
      </w:r>
      <w:r>
        <w:rPr>
          <w:rFonts w:hint="eastAsia" w:eastAsia="仿宋_GB2312"/>
          <w:sz w:val="32"/>
          <w:szCs w:val="32"/>
          <w:lang w:val="en-US" w:eastAsia="zh-CN"/>
        </w:rPr>
        <w:t>300</w:t>
      </w:r>
      <w:r>
        <w:rPr>
          <w:rFonts w:eastAsia="仿宋_GB2312"/>
          <w:sz w:val="32"/>
          <w:szCs w:val="32"/>
        </w:rPr>
        <w:t>万元，完成预算的</w:t>
      </w:r>
      <w:r>
        <w:rPr>
          <w:rFonts w:hint="eastAsia" w:eastAsia="仿宋_GB2312"/>
          <w:sz w:val="32"/>
          <w:szCs w:val="32"/>
        </w:rPr>
        <w:t>100</w:t>
      </w:r>
      <w:r>
        <w:rPr>
          <w:rFonts w:eastAsia="仿宋_GB2312"/>
          <w:sz w:val="32"/>
          <w:szCs w:val="32"/>
        </w:rPr>
        <w:t>%。通过项目实施，</w:t>
      </w:r>
      <w:r>
        <w:rPr>
          <w:rFonts w:hint="eastAsia" w:ascii="仿宋_GB2312" w:hAnsi="微软雅黑" w:eastAsia="仿宋_GB2312"/>
          <w:color w:val="000000"/>
          <w:sz w:val="32"/>
          <w:szCs w:val="32"/>
          <w:shd w:val="clear" w:color="auto" w:fill="FFFFFF"/>
        </w:rPr>
        <w:t>有效解决我县城乡生活垃圾处置不规范，污染环境等问题。</w:t>
      </w:r>
    </w:p>
    <w:p>
      <w:pPr>
        <w:numPr>
          <w:ilvl w:val="0"/>
          <w:numId w:val="3"/>
        </w:numPr>
        <w:spacing w:line="580" w:lineRule="exact"/>
        <w:ind w:firstLine="640" w:firstLineChars="200"/>
        <w:rPr>
          <w:rFonts w:hint="eastAsia" w:ascii="仿宋_GB2312" w:hAnsi="微软雅黑" w:eastAsia="仿宋_GB2312"/>
          <w:color w:val="000000"/>
          <w:sz w:val="32"/>
          <w:szCs w:val="32"/>
          <w:shd w:val="clear" w:color="auto" w:fill="FFFFFF"/>
        </w:rPr>
      </w:pPr>
      <w:r>
        <w:rPr>
          <w:rFonts w:hint="eastAsia" w:eastAsia="仿宋_GB2312"/>
          <w:sz w:val="32"/>
          <w:szCs w:val="32"/>
          <w:lang w:val="en-US" w:eastAsia="zh-CN"/>
        </w:rPr>
        <w:t>、</w:t>
      </w:r>
      <w:r>
        <w:rPr>
          <w:rFonts w:hint="eastAsia" w:eastAsia="仿宋_GB2312"/>
          <w:sz w:val="32"/>
          <w:szCs w:val="32"/>
          <w:lang w:eastAsia="zh-CN"/>
        </w:rPr>
        <w:t>公共设施维护排危专项经费（含城市公厕）项目</w:t>
      </w:r>
      <w:r>
        <w:rPr>
          <w:rFonts w:eastAsia="仿宋_GB2312"/>
          <w:sz w:val="32"/>
          <w:szCs w:val="32"/>
        </w:rPr>
        <w:t>绩效目标完成情况综述。项目全年预算数</w:t>
      </w:r>
      <w:r>
        <w:rPr>
          <w:rFonts w:hint="eastAsia" w:eastAsia="仿宋_GB2312"/>
          <w:sz w:val="32"/>
          <w:szCs w:val="32"/>
          <w:lang w:val="en-US" w:eastAsia="zh-CN"/>
        </w:rPr>
        <w:t>10</w:t>
      </w:r>
      <w:r>
        <w:rPr>
          <w:rFonts w:eastAsia="仿宋_GB2312"/>
          <w:sz w:val="32"/>
          <w:szCs w:val="32"/>
        </w:rPr>
        <w:t>万元，执行数为</w:t>
      </w:r>
      <w:r>
        <w:rPr>
          <w:rFonts w:hint="eastAsia" w:eastAsia="仿宋_GB2312"/>
          <w:sz w:val="32"/>
          <w:szCs w:val="32"/>
          <w:lang w:val="en-US" w:eastAsia="zh-CN"/>
        </w:rPr>
        <w:t>10</w:t>
      </w:r>
      <w:r>
        <w:rPr>
          <w:rFonts w:eastAsia="仿宋_GB2312"/>
          <w:sz w:val="32"/>
          <w:szCs w:val="32"/>
        </w:rPr>
        <w:t>万元，完成预算的</w:t>
      </w:r>
      <w:r>
        <w:rPr>
          <w:rFonts w:hint="eastAsia" w:eastAsia="仿宋_GB2312"/>
          <w:sz w:val="32"/>
          <w:szCs w:val="32"/>
        </w:rPr>
        <w:t>100</w:t>
      </w:r>
      <w:r>
        <w:rPr>
          <w:rFonts w:eastAsia="仿宋_GB2312"/>
          <w:sz w:val="32"/>
          <w:szCs w:val="32"/>
        </w:rPr>
        <w:t>%。通过项目实施，</w:t>
      </w:r>
      <w:r>
        <w:rPr>
          <w:rFonts w:hint="eastAsia" w:eastAsia="仿宋_GB2312"/>
          <w:sz w:val="32"/>
          <w:szCs w:val="32"/>
        </w:rPr>
        <w:t>进一步提高了城市形象，提升了城市品位，给</w:t>
      </w:r>
      <w:r>
        <w:rPr>
          <w:rFonts w:hint="eastAsia" w:eastAsia="仿宋_GB2312"/>
          <w:sz w:val="32"/>
          <w:szCs w:val="32"/>
          <w:lang w:eastAsia="zh-CN"/>
        </w:rPr>
        <w:t>市民</w:t>
      </w:r>
      <w:r>
        <w:rPr>
          <w:rFonts w:hint="eastAsia" w:eastAsia="仿宋_GB2312"/>
          <w:sz w:val="32"/>
          <w:szCs w:val="32"/>
        </w:rPr>
        <w:t>带</w:t>
      </w:r>
      <w:r>
        <w:rPr>
          <w:rFonts w:hint="eastAsia" w:eastAsia="仿宋_GB2312"/>
          <w:sz w:val="32"/>
          <w:szCs w:val="32"/>
          <w:lang w:eastAsia="zh-CN"/>
        </w:rPr>
        <w:t>来了</w:t>
      </w:r>
      <w:r>
        <w:rPr>
          <w:rFonts w:hint="eastAsia" w:eastAsia="仿宋_GB2312"/>
          <w:sz w:val="32"/>
          <w:szCs w:val="32"/>
        </w:rPr>
        <w:t xml:space="preserve">方便。 </w:t>
      </w:r>
    </w:p>
    <w:tbl>
      <w:tblPr>
        <w:tblStyle w:val="14"/>
        <w:tblpPr w:leftFromText="180" w:rightFromText="180" w:vertAnchor="text" w:horzAnchor="page" w:tblpX="952" w:tblpY="306"/>
        <w:tblOverlap w:val="never"/>
        <w:tblW w:w="9960" w:type="dxa"/>
        <w:tblInd w:w="0" w:type="dxa"/>
        <w:tblLayout w:type="fixed"/>
        <w:tblCellMar>
          <w:top w:w="0" w:type="dxa"/>
          <w:left w:w="0" w:type="dxa"/>
          <w:bottom w:w="0" w:type="dxa"/>
          <w:right w:w="0" w:type="dxa"/>
        </w:tblCellMar>
      </w:tblPr>
      <w:tblGrid>
        <w:gridCol w:w="582"/>
        <w:gridCol w:w="1175"/>
        <w:gridCol w:w="1123"/>
        <w:gridCol w:w="2294"/>
        <w:gridCol w:w="2394"/>
        <w:gridCol w:w="2392"/>
      </w:tblGrid>
      <w:tr>
        <w:tblPrEx>
          <w:tblCellMar>
            <w:top w:w="0" w:type="dxa"/>
            <w:left w:w="0" w:type="dxa"/>
            <w:bottom w:w="0" w:type="dxa"/>
            <w:right w:w="0" w:type="dxa"/>
          </w:tblCellMar>
        </w:tblPrEx>
        <w:trPr>
          <w:trHeight w:val="1083" w:hRule="atLeast"/>
        </w:trPr>
        <w:tc>
          <w:tcPr>
            <w:tcW w:w="9960" w:type="dxa"/>
            <w:gridSpan w:val="6"/>
            <w:tcMar>
              <w:top w:w="15" w:type="dxa"/>
              <w:left w:w="15" w:type="dxa"/>
              <w:bottom w:w="0" w:type="dxa"/>
              <w:right w:w="15" w:type="dxa"/>
            </w:tcMar>
            <w:vAlign w:val="center"/>
          </w:tcPr>
          <w:p>
            <w:pPr>
              <w:pStyle w:val="25"/>
              <w:widowControl/>
              <w:ind w:left="4167" w:leftChars="1304" w:hanging="1429" w:hangingChars="397"/>
              <w:textAlignment w:val="center"/>
              <w:rPr>
                <w:rFonts w:ascii="黑体" w:hAnsi="黑体" w:eastAsia="黑体" w:cs="宋体"/>
                <w:bCs/>
                <w:color w:val="000000"/>
                <w:kern w:val="0"/>
                <w:sz w:val="36"/>
                <w:szCs w:val="36"/>
              </w:rPr>
            </w:pPr>
            <w:r>
              <w:rPr>
                <w:rFonts w:hint="eastAsia" w:ascii="黑体" w:hAnsi="黑体" w:eastAsia="黑体" w:cs="宋体"/>
                <w:bCs/>
                <w:color w:val="000000"/>
                <w:kern w:val="0"/>
                <w:sz w:val="36"/>
                <w:szCs w:val="36"/>
              </w:rPr>
              <w:t>项目绩效目标完成情况表</w:t>
            </w:r>
          </w:p>
          <w:p>
            <w:pPr>
              <w:pStyle w:val="25"/>
              <w:widowControl/>
              <w:ind w:firstLine="0" w:firstLineChars="0"/>
              <w:jc w:val="center"/>
              <w:textAlignment w:val="center"/>
              <w:rPr>
                <w:rFonts w:ascii="宋体" w:hAnsi="宋体" w:cs="宋体"/>
                <w:color w:val="000000"/>
                <w:sz w:val="36"/>
                <w:szCs w:val="36"/>
              </w:rPr>
            </w:pPr>
            <w:r>
              <w:rPr>
                <w:rFonts w:hint="eastAsia" w:ascii="宋体" w:hAnsi="宋体" w:cs="宋体"/>
                <w:color w:val="000000"/>
                <w:kern w:val="0"/>
                <w:sz w:val="36"/>
                <w:szCs w:val="36"/>
              </w:rPr>
              <w:t>(2020 年度)</w:t>
            </w:r>
          </w:p>
        </w:tc>
      </w:tr>
      <w:tr>
        <w:tblPrEx>
          <w:tblCellMar>
            <w:top w:w="0" w:type="dxa"/>
            <w:left w:w="0" w:type="dxa"/>
            <w:bottom w:w="0" w:type="dxa"/>
            <w:right w:w="0" w:type="dxa"/>
          </w:tblCellMar>
        </w:tblPrEx>
        <w:trPr>
          <w:trHeight w:val="276" w:hRule="atLeast"/>
        </w:trPr>
        <w:tc>
          <w:tcPr>
            <w:tcW w:w="288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项目名称</w:t>
            </w:r>
          </w:p>
        </w:tc>
        <w:tc>
          <w:tcPr>
            <w:tcW w:w="708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平昌县城镇垃圾集中转运项目运行费</w:t>
            </w:r>
          </w:p>
        </w:tc>
      </w:tr>
      <w:tr>
        <w:tblPrEx>
          <w:tblCellMar>
            <w:top w:w="0" w:type="dxa"/>
            <w:left w:w="0" w:type="dxa"/>
            <w:bottom w:w="0" w:type="dxa"/>
            <w:right w:w="0" w:type="dxa"/>
          </w:tblCellMar>
        </w:tblPrEx>
        <w:trPr>
          <w:trHeight w:val="276" w:hRule="atLeast"/>
        </w:trPr>
        <w:tc>
          <w:tcPr>
            <w:tcW w:w="288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预算单位</w:t>
            </w:r>
          </w:p>
        </w:tc>
        <w:tc>
          <w:tcPr>
            <w:tcW w:w="708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平昌县综合行政执法局</w:t>
            </w:r>
          </w:p>
        </w:tc>
      </w:tr>
      <w:tr>
        <w:tblPrEx>
          <w:tblCellMar>
            <w:top w:w="0" w:type="dxa"/>
            <w:left w:w="0" w:type="dxa"/>
            <w:bottom w:w="0" w:type="dxa"/>
            <w:right w:w="0" w:type="dxa"/>
          </w:tblCellMar>
        </w:tblPrEx>
        <w:trPr>
          <w:trHeight w:val="276" w:hRule="atLeast"/>
        </w:trPr>
        <w:tc>
          <w:tcPr>
            <w:tcW w:w="58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预算执行情况(万元)</w:t>
            </w:r>
          </w:p>
        </w:tc>
        <w:tc>
          <w:tcPr>
            <w:tcW w:w="2298"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预算数:</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300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执行数: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300</w:t>
            </w:r>
          </w:p>
        </w:tc>
      </w:tr>
      <w:tr>
        <w:tblPrEx>
          <w:tblCellMar>
            <w:top w:w="0" w:type="dxa"/>
            <w:left w:w="0" w:type="dxa"/>
            <w:bottom w:w="0" w:type="dxa"/>
            <w:right w:w="0" w:type="dxa"/>
          </w:tblCellMar>
        </w:tblPrEx>
        <w:trPr>
          <w:trHeight w:val="276"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2298"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300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300</w:t>
            </w:r>
          </w:p>
        </w:tc>
      </w:tr>
      <w:tr>
        <w:tblPrEx>
          <w:tblCellMar>
            <w:top w:w="0" w:type="dxa"/>
            <w:left w:w="0" w:type="dxa"/>
            <w:bottom w:w="0" w:type="dxa"/>
            <w:right w:w="0" w:type="dxa"/>
          </w:tblCellMar>
        </w:tblPrEx>
        <w:trPr>
          <w:trHeight w:val="681"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2298"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宋体" w:hAnsi="宋体" w:cs="宋体"/>
                <w:color w:val="000000"/>
                <w:sz w:val="24"/>
              </w:rPr>
            </w:pPr>
          </w:p>
        </w:tc>
      </w:tr>
      <w:tr>
        <w:tblPrEx>
          <w:tblCellMar>
            <w:top w:w="0" w:type="dxa"/>
            <w:left w:w="0" w:type="dxa"/>
            <w:bottom w:w="0" w:type="dxa"/>
            <w:right w:w="0" w:type="dxa"/>
          </w:tblCellMar>
        </w:tblPrEx>
        <w:trPr>
          <w:trHeight w:val="276" w:hRule="atLeast"/>
        </w:trPr>
        <w:tc>
          <w:tcPr>
            <w:tcW w:w="58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年度目标完成情况</w:t>
            </w:r>
          </w:p>
        </w:tc>
        <w:tc>
          <w:tcPr>
            <w:tcW w:w="4592"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实际完成目标</w:t>
            </w:r>
          </w:p>
        </w:tc>
      </w:tr>
      <w:tr>
        <w:tblPrEx>
          <w:tblCellMar>
            <w:top w:w="0" w:type="dxa"/>
            <w:left w:w="0" w:type="dxa"/>
            <w:bottom w:w="0" w:type="dxa"/>
            <w:right w:w="0" w:type="dxa"/>
          </w:tblCellMar>
        </w:tblPrEx>
        <w:trPr>
          <w:trHeight w:val="1159"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4592"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sz w:val="24"/>
              </w:rPr>
              <w:t>2020年启动了城镇生活垃圾收运体系项目运营工作，完成主要包含13处垃圾中转站和3处压缩中转站生活垃圾运往巴中焚烧发电厂处理；保障13处垃圾中转站和3处垃圾压缩中转站生活垃圾日产日清等工作，计划投入资金300万元.</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left"/>
              <w:textAlignment w:val="center"/>
              <w:rPr>
                <w:rFonts w:ascii="宋体" w:hAnsi="宋体" w:cs="宋体"/>
                <w:color w:val="000000"/>
                <w:sz w:val="24"/>
              </w:rPr>
            </w:pPr>
            <w:r>
              <w:rPr>
                <w:rFonts w:hint="eastAsia" w:ascii="宋体" w:hAnsi="宋体" w:cs="宋体"/>
                <w:color w:val="000000"/>
                <w:sz w:val="24"/>
              </w:rPr>
              <w:t>2020年启动了城镇生活垃圾收运体系项目运营工作，完成了主要包含13处垃圾中转站和3处压缩中转站生活垃圾运往巴中焚烧发电厂处理；保障了13处垃圾中转站和3处垃圾压缩中转站生活垃圾日产日清等工作，实际支付300万元。</w:t>
            </w:r>
          </w:p>
        </w:tc>
      </w:tr>
      <w:tr>
        <w:tblPrEx>
          <w:tblCellMar>
            <w:top w:w="0" w:type="dxa"/>
            <w:left w:w="0" w:type="dxa"/>
            <w:bottom w:w="0" w:type="dxa"/>
            <w:right w:w="0" w:type="dxa"/>
          </w:tblCellMar>
        </w:tblPrEx>
        <w:trPr>
          <w:trHeight w:val="777" w:hRule="atLeast"/>
        </w:trPr>
        <w:tc>
          <w:tcPr>
            <w:tcW w:w="582"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绩效指标完成情况</w:t>
            </w: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一级指标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二级指标</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实际完成指标值(包含数字及文字描述)</w:t>
            </w:r>
          </w:p>
        </w:tc>
      </w:tr>
      <w:tr>
        <w:tblPrEx>
          <w:tblCellMar>
            <w:top w:w="0" w:type="dxa"/>
            <w:left w:w="0" w:type="dxa"/>
            <w:bottom w:w="0" w:type="dxa"/>
            <w:right w:w="0" w:type="dxa"/>
          </w:tblCellMar>
        </w:tblPrEx>
        <w:trPr>
          <w:trHeight w:val="658"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数量指标</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13个乡镇垃圾中转站及县城3个垃圾站</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100%</w:t>
            </w:r>
          </w:p>
        </w:tc>
      </w:tr>
      <w:tr>
        <w:tblPrEx>
          <w:tblCellMar>
            <w:top w:w="0" w:type="dxa"/>
            <w:left w:w="0" w:type="dxa"/>
            <w:bottom w:w="0" w:type="dxa"/>
            <w:right w:w="0" w:type="dxa"/>
          </w:tblCellMar>
        </w:tblPrEx>
        <w:trPr>
          <w:trHeight w:val="882"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质量指标</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实现城乡生活垃圾就近压缩，集中转运</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100%</w:t>
            </w:r>
          </w:p>
        </w:tc>
      </w:tr>
      <w:tr>
        <w:tblPrEx>
          <w:tblCellMar>
            <w:top w:w="0" w:type="dxa"/>
            <w:left w:w="0" w:type="dxa"/>
            <w:bottom w:w="0" w:type="dxa"/>
            <w:right w:w="0" w:type="dxa"/>
          </w:tblCellMar>
        </w:tblPrEx>
        <w:trPr>
          <w:trHeight w:val="90"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时效指标</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配合城乡生活垃圾收运体系项目建设</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100%</w:t>
            </w:r>
          </w:p>
        </w:tc>
      </w:tr>
      <w:tr>
        <w:tblPrEx>
          <w:tblCellMar>
            <w:top w:w="0" w:type="dxa"/>
            <w:left w:w="0" w:type="dxa"/>
            <w:bottom w:w="0" w:type="dxa"/>
            <w:right w:w="0" w:type="dxa"/>
          </w:tblCellMar>
        </w:tblPrEx>
        <w:trPr>
          <w:trHeight w:val="562"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项目完成指标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成本指标</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控制支出在预算内</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100%</w:t>
            </w:r>
          </w:p>
        </w:tc>
      </w:tr>
      <w:tr>
        <w:tblPrEx>
          <w:tblCellMar>
            <w:top w:w="0" w:type="dxa"/>
            <w:left w:w="0" w:type="dxa"/>
            <w:bottom w:w="0" w:type="dxa"/>
            <w:right w:w="0" w:type="dxa"/>
          </w:tblCellMar>
        </w:tblPrEx>
        <w:trPr>
          <w:trHeight w:val="572"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p>
        </w:tc>
      </w:tr>
      <w:tr>
        <w:tblPrEx>
          <w:tblCellMar>
            <w:top w:w="0" w:type="dxa"/>
            <w:left w:w="0" w:type="dxa"/>
            <w:bottom w:w="0" w:type="dxa"/>
            <w:right w:w="0" w:type="dxa"/>
          </w:tblCellMar>
        </w:tblPrEx>
        <w:trPr>
          <w:trHeight w:val="717"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社会</w:t>
            </w:r>
            <w:r>
              <w:rPr>
                <w:rFonts w:hint="eastAsia" w:ascii="宋体" w:hAnsi="宋体" w:cs="宋体"/>
                <w:color w:val="000000"/>
                <w:kern w:val="0"/>
                <w:sz w:val="24"/>
              </w:rPr>
              <w:t>效益指标</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社会</w:t>
            </w:r>
            <w:r>
              <w:rPr>
                <w:rFonts w:hint="eastAsia" w:ascii="宋体" w:hAnsi="宋体" w:cs="宋体"/>
                <w:color w:val="000000"/>
                <w:kern w:val="0"/>
                <w:sz w:val="24"/>
              </w:rPr>
              <w:t>效益指标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实现城乡生活垃圾就近压缩，集中转运</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实现城乡生活垃圾就近压缩，集中转运</w:t>
            </w:r>
          </w:p>
        </w:tc>
      </w:tr>
      <w:tr>
        <w:tblPrEx>
          <w:tblCellMar>
            <w:top w:w="0" w:type="dxa"/>
            <w:left w:w="0" w:type="dxa"/>
            <w:bottom w:w="0" w:type="dxa"/>
            <w:right w:w="0" w:type="dxa"/>
          </w:tblCellMar>
        </w:tblPrEx>
        <w:trPr>
          <w:trHeight w:val="647"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社会</w:t>
            </w:r>
            <w:r>
              <w:rPr>
                <w:rFonts w:hint="eastAsia" w:ascii="宋体" w:hAnsi="宋体" w:cs="宋体"/>
                <w:color w:val="000000"/>
                <w:kern w:val="0"/>
                <w:sz w:val="24"/>
              </w:rPr>
              <w:t>效益指标</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社会</w:t>
            </w:r>
            <w:r>
              <w:rPr>
                <w:rFonts w:hint="eastAsia" w:ascii="宋体" w:hAnsi="宋体" w:cs="宋体"/>
                <w:color w:val="000000"/>
                <w:kern w:val="0"/>
                <w:sz w:val="24"/>
              </w:rPr>
              <w:t>效益指标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保证全县生活垃圾日产日清</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保证全县生活垃圾日产日清</w:t>
            </w:r>
          </w:p>
        </w:tc>
      </w:tr>
      <w:tr>
        <w:tblPrEx>
          <w:tblCellMar>
            <w:top w:w="0" w:type="dxa"/>
            <w:left w:w="0" w:type="dxa"/>
            <w:bottom w:w="0" w:type="dxa"/>
            <w:right w:w="0" w:type="dxa"/>
          </w:tblCellMar>
        </w:tblPrEx>
        <w:trPr>
          <w:trHeight w:val="737"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生态效益指标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生态效益指标</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生态效益指标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确保全县生活垃圾规范运输、处置</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确保全县生活垃圾规范运输、处置</w:t>
            </w:r>
          </w:p>
        </w:tc>
      </w:tr>
      <w:tr>
        <w:tblPrEx>
          <w:tblCellMar>
            <w:top w:w="0" w:type="dxa"/>
            <w:left w:w="0" w:type="dxa"/>
            <w:bottom w:w="0" w:type="dxa"/>
            <w:right w:w="0" w:type="dxa"/>
          </w:tblCellMar>
        </w:tblPrEx>
        <w:trPr>
          <w:trHeight w:val="617"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生态效益指标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可持续影响</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生态效益指标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确保8年内设备正常运行</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确保8年内设备正常运行</w:t>
            </w:r>
          </w:p>
        </w:tc>
      </w:tr>
      <w:tr>
        <w:tblPrEx>
          <w:tblCellMar>
            <w:top w:w="0" w:type="dxa"/>
            <w:left w:w="0" w:type="dxa"/>
            <w:bottom w:w="0" w:type="dxa"/>
            <w:right w:w="0" w:type="dxa"/>
          </w:tblCellMar>
        </w:tblPrEx>
        <w:trPr>
          <w:trHeight w:val="780" w:hRule="atLeast"/>
        </w:trPr>
        <w:tc>
          <w:tcPr>
            <w:tcW w:w="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17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满意度指标</w:t>
            </w:r>
          </w:p>
        </w:tc>
        <w:tc>
          <w:tcPr>
            <w:tcW w:w="11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服务对象满意指标</w:t>
            </w:r>
          </w:p>
        </w:tc>
        <w:tc>
          <w:tcPr>
            <w:tcW w:w="22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服务对象满意指标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人民群众满意度≥95%</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人民群众满意度≥95%</w:t>
            </w:r>
          </w:p>
        </w:tc>
      </w:tr>
    </w:tbl>
    <w:p>
      <w:pPr>
        <w:pStyle w:val="13"/>
        <w:spacing w:line="560" w:lineRule="exact"/>
        <w:rPr>
          <w:rFonts w:ascii="仿宋_GB2312" w:hAnsi="Calibri" w:eastAsia="仿宋_GB2312" w:cs="仿宋"/>
          <w:color w:val="000000"/>
          <w:sz w:val="32"/>
          <w:szCs w:val="32"/>
        </w:rPr>
      </w:pPr>
      <w:r>
        <w:rPr>
          <w:rFonts w:hint="eastAsia" w:ascii="仿宋_GB2312" w:hAnsi="Calibri" w:eastAsia="仿宋_GB2312" w:cs="仿宋"/>
          <w:color w:val="000000"/>
          <w:sz w:val="32"/>
          <w:szCs w:val="32"/>
        </w:rPr>
        <w:t>2.部门绩效评价结果。</w:t>
      </w:r>
    </w:p>
    <w:p>
      <w:pPr>
        <w:pStyle w:val="13"/>
        <w:spacing w:line="560" w:lineRule="exact"/>
        <w:ind w:firstLine="640" w:firstLineChars="200"/>
        <w:rPr>
          <w:rFonts w:ascii="仿宋_GB2312" w:hAnsi="Calibri" w:eastAsia="仿宋_GB2312" w:cs="仿宋"/>
          <w:color w:val="000000"/>
          <w:sz w:val="32"/>
          <w:szCs w:val="32"/>
        </w:rPr>
      </w:pPr>
      <w:r>
        <w:rPr>
          <w:rFonts w:hint="eastAsia" w:ascii="仿宋_GB2312" w:hAnsi="Calibri" w:eastAsia="仿宋_GB2312" w:cs="仿宋"/>
          <w:color w:val="000000"/>
          <w:sz w:val="32"/>
          <w:szCs w:val="32"/>
        </w:rPr>
        <w:t>2020年本部门整体支出绩效评价情况：</w:t>
      </w:r>
      <w:r>
        <w:rPr>
          <w:rFonts w:ascii="仿宋_GB2312" w:hAnsi="Calibri" w:eastAsia="仿宋_GB2312" w:cs="仿宋"/>
          <w:color w:val="000000"/>
          <w:sz w:val="32"/>
          <w:szCs w:val="32"/>
        </w:rPr>
        <w:t>一是预算执行到位。严格执行《预算法》和各项财经纪律，机关管理制度健全，财务管理规范，预算编制合理;二是资金监管到位。经费开支按用途使用合理，做到专账专管,专款专用</w:t>
      </w:r>
      <w:r>
        <w:rPr>
          <w:rFonts w:hint="eastAsia" w:ascii="仿宋_GB2312" w:hAnsi="Calibri" w:eastAsia="仿宋_GB2312" w:cs="仿宋"/>
          <w:color w:val="000000"/>
          <w:sz w:val="32"/>
          <w:szCs w:val="32"/>
        </w:rPr>
        <w:t>（详见附件1）</w:t>
      </w:r>
      <w:r>
        <w:rPr>
          <w:rFonts w:ascii="仿宋_GB2312" w:hAnsi="Calibri" w:eastAsia="仿宋_GB2312" w:cs="仿宋"/>
          <w:color w:val="000000"/>
          <w:sz w:val="32"/>
          <w:szCs w:val="32"/>
        </w:rPr>
        <w:t>。</w:t>
      </w:r>
    </w:p>
    <w:p>
      <w:pPr>
        <w:spacing w:line="580" w:lineRule="exact"/>
        <w:ind w:firstLine="640" w:firstLineChars="200"/>
        <w:rPr>
          <w:rFonts w:hint="eastAsia" w:eastAsia="仿宋_GB2312"/>
          <w:sz w:val="32"/>
          <w:szCs w:val="32"/>
          <w:shd w:val="clear" w:color="auto" w:fill="FFFFFF"/>
        </w:rPr>
      </w:pPr>
      <w:r>
        <w:rPr>
          <w:rFonts w:hint="eastAsia" w:ascii="仿宋_GB2312" w:hAnsi="Calibri" w:eastAsia="仿宋_GB2312" w:cs="仿宋"/>
          <w:color w:val="000000"/>
          <w:kern w:val="0"/>
          <w:sz w:val="32"/>
          <w:szCs w:val="32"/>
        </w:rPr>
        <w:t>对</w:t>
      </w:r>
      <w:r>
        <w:rPr>
          <w:rFonts w:hint="eastAsia" w:ascii="仿宋_GB2312" w:hAnsi="Calibri" w:eastAsia="仿宋_GB2312" w:cs="仿宋"/>
          <w:color w:val="000000"/>
          <w:kern w:val="0"/>
          <w:sz w:val="32"/>
          <w:szCs w:val="32"/>
          <w:lang w:eastAsia="zh-CN"/>
        </w:rPr>
        <w:t>平昌县城镇垃圾集中转运项目年运行费</w:t>
      </w:r>
      <w:r>
        <w:rPr>
          <w:rFonts w:hint="eastAsia" w:ascii="仿宋_GB2312" w:hAnsi="Calibri" w:eastAsia="仿宋_GB2312" w:cs="仿宋"/>
          <w:color w:val="000000"/>
          <w:kern w:val="0"/>
          <w:sz w:val="32"/>
          <w:szCs w:val="32"/>
        </w:rPr>
        <w:t>绩效评价：该项目符合国家</w:t>
      </w:r>
      <w:r>
        <w:rPr>
          <w:rFonts w:hint="eastAsia" w:eastAsia="仿宋_GB2312"/>
          <w:sz w:val="32"/>
          <w:szCs w:val="32"/>
        </w:rPr>
        <w:t>相关法律法规和县委政府决策</w:t>
      </w:r>
      <w:r>
        <w:rPr>
          <w:rFonts w:hint="eastAsia" w:eastAsia="仿宋_GB2312"/>
          <w:sz w:val="32"/>
          <w:szCs w:val="32"/>
          <w:shd w:val="clear" w:color="auto" w:fill="FFFFFF"/>
        </w:rPr>
        <w:t>，项目资金的使用和管理符合相关规定。</w:t>
      </w:r>
      <w:r>
        <w:rPr>
          <w:rFonts w:hint="eastAsia" w:eastAsia="仿宋_GB2312"/>
          <w:sz w:val="32"/>
          <w:szCs w:val="32"/>
        </w:rPr>
        <w:t>项目事前经过了集体决策，依据较充分。该项目设立了较明确的绩效目标，并建立了完善的考核体系。通过</w:t>
      </w:r>
      <w:r>
        <w:rPr>
          <w:rFonts w:hint="eastAsia" w:ascii="仿宋_GB2312" w:eastAsia="仿宋_GB2312"/>
          <w:sz w:val="32"/>
          <w:szCs w:val="32"/>
        </w:rPr>
        <w:t>政府向市场购买公共服务，进一步改善了公共服务质量加快服务型政府建设，为广大群众提供了优质高效的公共服务</w:t>
      </w:r>
      <w:r>
        <w:rPr>
          <w:rFonts w:hint="eastAsia" w:eastAsia="仿宋_GB2312"/>
          <w:spacing w:val="-6"/>
          <w:sz w:val="32"/>
          <w:szCs w:val="32"/>
        </w:rPr>
        <w:t>。总体</w:t>
      </w:r>
      <w:r>
        <w:rPr>
          <w:rFonts w:hint="eastAsia" w:eastAsia="仿宋_GB2312"/>
          <w:sz w:val="32"/>
          <w:szCs w:val="32"/>
          <w:shd w:val="clear" w:color="auto" w:fill="FFFFFF"/>
        </w:rPr>
        <w:t>达到了预期目标，绩效评价好（详见附件2）。</w:t>
      </w: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ind w:firstLine="640" w:firstLineChars="200"/>
        <w:rPr>
          <w:rFonts w:hint="eastAsia" w:eastAsia="仿宋_GB2312"/>
          <w:sz w:val="32"/>
          <w:szCs w:val="32"/>
          <w:shd w:val="clear" w:color="auto" w:fill="FFFFFF"/>
        </w:rPr>
      </w:pPr>
    </w:p>
    <w:p>
      <w:pPr>
        <w:spacing w:line="580" w:lineRule="exact"/>
        <w:rPr>
          <w:rFonts w:eastAsia="仿宋_GB2312"/>
          <w:sz w:val="32"/>
          <w:szCs w:val="32"/>
        </w:rPr>
      </w:pPr>
    </w:p>
    <w:p>
      <w:pPr>
        <w:numPr>
          <w:ilvl w:val="0"/>
          <w:numId w:val="4"/>
        </w:numPr>
        <w:spacing w:line="560" w:lineRule="exact"/>
        <w:ind w:firstLine="660" w:firstLineChars="150"/>
        <w:jc w:val="center"/>
        <w:outlineLvl w:val="0"/>
        <w:rPr>
          <w:rStyle w:val="26"/>
          <w:rFonts w:eastAsia="黑体"/>
          <w:b w:val="0"/>
        </w:rPr>
      </w:pPr>
      <w:bookmarkStart w:id="39" w:name="_Toc15396613"/>
      <w:bookmarkStart w:id="40" w:name="_Toc15377225"/>
      <w:r>
        <w:rPr>
          <w:rStyle w:val="26"/>
          <w:rFonts w:eastAsia="黑体"/>
          <w:b w:val="0"/>
        </w:rPr>
        <w:t>名词解释</w:t>
      </w:r>
      <w:bookmarkEnd w:id="39"/>
      <w:bookmarkEnd w:id="40"/>
    </w:p>
    <w:p>
      <w:pPr>
        <w:spacing w:line="560" w:lineRule="exact"/>
        <w:jc w:val="left"/>
        <w:rPr>
          <w:b/>
          <w:color w:val="000000"/>
          <w:sz w:val="44"/>
          <w:szCs w:val="44"/>
        </w:rPr>
      </w:pPr>
    </w:p>
    <w:p>
      <w:pPr>
        <w:pStyle w:val="24"/>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1.财政拨款收入：指单位从同级财政部门取得的财政预算资金。</w:t>
      </w:r>
    </w:p>
    <w:p>
      <w:pPr>
        <w:spacing w:line="560" w:lineRule="exact"/>
        <w:ind w:firstLine="640" w:firstLineChars="200"/>
        <w:rPr>
          <w:rFonts w:eastAsia="仿宋_GB2312"/>
          <w:color w:val="000000"/>
          <w:sz w:val="32"/>
          <w:szCs w:val="32"/>
        </w:rPr>
      </w:pPr>
      <w:r>
        <w:rPr>
          <w:rFonts w:hint="eastAsia" w:eastAsia="仿宋_GB2312"/>
          <w:color w:val="000000"/>
          <w:sz w:val="32"/>
          <w:szCs w:val="32"/>
        </w:rPr>
        <w:t>2</w:t>
      </w:r>
      <w:r>
        <w:rPr>
          <w:rFonts w:eastAsia="仿宋_GB2312"/>
          <w:color w:val="000000"/>
          <w:sz w:val="32"/>
          <w:szCs w:val="32"/>
        </w:rPr>
        <w:t>.基本支出：指为保障机构正常运转、完成日常工作任务而发生的人员支出和公用支出。</w:t>
      </w:r>
    </w:p>
    <w:p>
      <w:pPr>
        <w:spacing w:line="560" w:lineRule="exact"/>
        <w:ind w:firstLine="640" w:firstLineChars="200"/>
        <w:rPr>
          <w:rFonts w:eastAsia="仿宋_GB2312"/>
          <w:color w:val="000000"/>
          <w:sz w:val="32"/>
          <w:szCs w:val="32"/>
        </w:rPr>
      </w:pPr>
      <w:r>
        <w:rPr>
          <w:rFonts w:hint="eastAsia" w:eastAsia="仿宋_GB2312"/>
          <w:color w:val="000000"/>
          <w:sz w:val="32"/>
          <w:szCs w:val="32"/>
        </w:rPr>
        <w:t>3</w:t>
      </w:r>
      <w:r>
        <w:rPr>
          <w:rFonts w:eastAsia="仿宋_GB2312"/>
          <w:color w:val="000000"/>
          <w:sz w:val="32"/>
          <w:szCs w:val="32"/>
        </w:rPr>
        <w:t xml:space="preserve">.项目支出：指在基本支出之外为完成特定行政任务和事业发展目标所发生的支出。 </w:t>
      </w:r>
    </w:p>
    <w:p>
      <w:pPr>
        <w:pStyle w:val="24"/>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r>
        <w:rPr>
          <w:rFonts w:hint="eastAsia" w:ascii="Times New Roman" w:hAnsi="Times New Roman" w:eastAsia="仿宋_GB2312" w:cs="Times New Roman"/>
          <w:sz w:val="32"/>
          <w:szCs w:val="32"/>
        </w:rPr>
        <w:t>。</w:t>
      </w:r>
    </w:p>
    <w:p>
      <w:pPr>
        <w:pStyle w:val="24"/>
        <w:spacing w:line="560" w:lineRule="exact"/>
        <w:ind w:firstLine="640" w:firstLineChars="200"/>
        <w:rPr>
          <w:rFonts w:ascii="Times New Roman" w:hAnsi="Times New Roman" w:eastAsia="黑体" w:cs="Times New Roman"/>
          <w:sz w:val="44"/>
          <w:szCs w:val="44"/>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bookmarkStart w:id="41" w:name="_Toc15396614"/>
      <w:bookmarkStart w:id="42" w:name="_Toc15377226"/>
      <w:r>
        <w:rPr>
          <w:rFonts w:ascii="Times New Roman" w:hAnsi="Times New Roman" w:eastAsia="黑体" w:cs="Times New Roman"/>
          <w:sz w:val="44"/>
          <w:szCs w:val="44"/>
        </w:rPr>
        <w:br w:type="page"/>
      </w:r>
    </w:p>
    <w:bookmarkEnd w:id="41"/>
    <w:p>
      <w:pPr>
        <w:spacing w:line="600" w:lineRule="exact"/>
        <w:jc w:val="center"/>
        <w:outlineLvl w:val="0"/>
        <w:rPr>
          <w:rStyle w:val="26"/>
          <w:rFonts w:ascii="黑体" w:hAnsi="黑体" w:eastAsia="黑体"/>
          <w:b w:val="0"/>
        </w:rPr>
      </w:pPr>
      <w:bookmarkStart w:id="43" w:name="_Toc15396618"/>
      <w:r>
        <w:rPr>
          <w:rFonts w:hint="eastAsia" w:ascii="黑体" w:hAnsi="黑体" w:eastAsia="黑体"/>
          <w:color w:val="000000"/>
          <w:sz w:val="44"/>
          <w:szCs w:val="44"/>
        </w:rPr>
        <w:t>第</w:t>
      </w:r>
      <w:r>
        <w:rPr>
          <w:rStyle w:val="26"/>
          <w:rFonts w:hint="eastAsia" w:ascii="黑体" w:hAnsi="黑体" w:eastAsia="黑体"/>
          <w:b w:val="0"/>
        </w:rPr>
        <w:t>四部分 附件</w:t>
      </w:r>
    </w:p>
    <w:p>
      <w:pPr>
        <w:spacing w:line="600" w:lineRule="exact"/>
        <w:jc w:val="left"/>
        <w:outlineLvl w:val="0"/>
        <w:rPr>
          <w:rFonts w:ascii="方正小标宋简体" w:hAnsi="方正小标宋简体" w:eastAsia="方正小标宋简体" w:cs="方正小标宋简体"/>
          <w:sz w:val="32"/>
          <w:szCs w:val="32"/>
        </w:rPr>
      </w:pPr>
      <w:r>
        <w:rPr>
          <w:rFonts w:hint="eastAsia" w:ascii="黑体" w:hAnsi="黑体" w:eastAsia="黑体" w:cs="黑体"/>
          <w:sz w:val="32"/>
          <w:szCs w:val="32"/>
        </w:rPr>
        <w:t>附件1</w:t>
      </w:r>
    </w:p>
    <w:p>
      <w:pPr>
        <w:spacing w:line="580" w:lineRule="exact"/>
        <w:jc w:val="center"/>
        <w:rPr>
          <w:rFonts w:ascii="方正小标宋简体" w:hAnsi="方正小标宋简体" w:eastAsia="方正小标宋简体" w:cs="方正小标宋简体"/>
          <w:sz w:val="44"/>
          <w:szCs w:val="44"/>
        </w:rPr>
      </w:pPr>
    </w:p>
    <w:p>
      <w:pPr>
        <w:spacing w:line="600" w:lineRule="exact"/>
        <w:jc w:val="center"/>
        <w:rPr>
          <w:rFonts w:ascii="方正小标宋简体" w:hAnsi="宋体" w:eastAsia="方正小标宋简体"/>
          <w:color w:val="000000"/>
          <w:kern w:val="0"/>
          <w:sz w:val="40"/>
          <w:szCs w:val="44"/>
        </w:rPr>
      </w:pPr>
      <w:r>
        <w:rPr>
          <w:rFonts w:hint="eastAsia" w:ascii="方正小标宋简体" w:hAnsi="宋体" w:eastAsia="方正小标宋简体"/>
          <w:color w:val="000000"/>
          <w:kern w:val="0"/>
          <w:sz w:val="40"/>
          <w:szCs w:val="44"/>
        </w:rPr>
        <w:t>平昌县综合行政执法局</w:t>
      </w:r>
    </w:p>
    <w:p>
      <w:pPr>
        <w:spacing w:line="600" w:lineRule="exact"/>
        <w:jc w:val="center"/>
        <w:rPr>
          <w:rFonts w:ascii="方正小标宋简体" w:hAnsi="宋体" w:eastAsia="方正小标宋简体"/>
          <w:color w:val="000000"/>
          <w:kern w:val="0"/>
          <w:sz w:val="40"/>
          <w:szCs w:val="44"/>
          <w:lang w:val="zh-CN"/>
        </w:rPr>
      </w:pPr>
      <w:r>
        <w:rPr>
          <w:rFonts w:ascii="方正小标宋简体" w:hAnsi="宋体" w:eastAsia="方正小标宋简体"/>
          <w:color w:val="000000"/>
          <w:kern w:val="0"/>
          <w:sz w:val="40"/>
          <w:szCs w:val="44"/>
        </w:rPr>
        <w:t>2020年部门</w:t>
      </w:r>
      <w:r>
        <w:rPr>
          <w:rFonts w:hint="eastAsia" w:ascii="方正小标宋简体" w:hAnsi="宋体" w:eastAsia="方正小标宋简体"/>
          <w:color w:val="000000"/>
          <w:kern w:val="0"/>
          <w:sz w:val="40"/>
          <w:szCs w:val="44"/>
          <w:lang w:val="zh-CN"/>
        </w:rPr>
        <w:t>整体支出绩效评价报告</w:t>
      </w:r>
    </w:p>
    <w:p>
      <w:pPr>
        <w:widowControl/>
        <w:adjustRightInd w:val="0"/>
        <w:snapToGrid w:val="0"/>
        <w:spacing w:line="580" w:lineRule="exact"/>
        <w:contextualSpacing/>
        <w:jc w:val="left"/>
        <w:rPr>
          <w:rFonts w:ascii="黑体" w:hAnsi="宋体" w:eastAsia="黑体" w:cs="宋体"/>
          <w:color w:val="000000"/>
          <w:kern w:val="0"/>
          <w:sz w:val="32"/>
          <w:szCs w:val="32"/>
          <w:shd w:val="clear" w:color="auto" w:fill="FFFFFF"/>
        </w:rPr>
      </w:pPr>
    </w:p>
    <w:p>
      <w:pPr>
        <w:widowControl/>
        <w:adjustRightInd w:val="0"/>
        <w:snapToGrid w:val="0"/>
        <w:spacing w:line="580" w:lineRule="exact"/>
        <w:contextualSpacing/>
        <w:jc w:val="left"/>
        <w:rPr>
          <w:rFonts w:ascii="黑体" w:hAnsi="宋体" w:eastAsia="黑体" w:cs="宋体"/>
          <w:color w:val="000000"/>
          <w:kern w:val="0"/>
          <w:sz w:val="32"/>
          <w:szCs w:val="32"/>
          <w:shd w:val="clear" w:color="auto" w:fill="FFFFFF"/>
          <w:lang w:val="zh-CN"/>
        </w:rPr>
      </w:pPr>
      <w:r>
        <w:rPr>
          <w:rFonts w:hint="eastAsia" w:ascii="黑体" w:hAnsi="宋体" w:eastAsia="黑体" w:cs="宋体"/>
          <w:color w:val="000000"/>
          <w:kern w:val="0"/>
          <w:sz w:val="32"/>
          <w:szCs w:val="32"/>
          <w:shd w:val="clear" w:color="auto" w:fill="FFFFFF"/>
        </w:rPr>
        <w:t>一、</w:t>
      </w:r>
      <w:r>
        <w:rPr>
          <w:rFonts w:hint="eastAsia" w:ascii="黑体" w:hAnsi="宋体" w:eastAsia="黑体" w:cs="宋体"/>
          <w:color w:val="000000"/>
          <w:kern w:val="0"/>
          <w:sz w:val="32"/>
          <w:szCs w:val="32"/>
          <w:shd w:val="clear" w:color="auto" w:fill="FFFFFF"/>
          <w:lang w:val="zh-CN"/>
        </w:rPr>
        <w:t>部门（单位）概况</w:t>
      </w:r>
    </w:p>
    <w:p>
      <w:pPr>
        <w:widowControl/>
        <w:adjustRightInd w:val="0"/>
        <w:snapToGrid w:val="0"/>
        <w:spacing w:line="58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（一）机构组成。</w:t>
      </w:r>
      <w:r>
        <w:rPr>
          <w:rFonts w:hint="eastAsia" w:ascii="仿宋_GB2312" w:hAnsi="仿宋_GB2312" w:eastAsia="仿宋_GB2312" w:cs="仿宋_GB2312"/>
          <w:color w:val="000000"/>
          <w:kern w:val="0"/>
          <w:sz w:val="32"/>
          <w:szCs w:val="32"/>
        </w:rPr>
        <w:t>县综合行政执法局成立于2001年7月，为县人民政府直属参公管理正科级事业单位，内设办公室、财务股、政工股、法制股、行政审批股、信访和群众工作股、安全办公室、项目办，下辖城管综合执法大队、平昌县环境卫生管理所和平昌县鑫鑫环境治理有限公司（国有注册公司）。</w:t>
      </w:r>
    </w:p>
    <w:p>
      <w:pPr>
        <w:ind w:firstLine="640" w:firstLineChars="200"/>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（二）机构职能。</w:t>
      </w:r>
      <w:r>
        <w:rPr>
          <w:rFonts w:hint="eastAsia" w:ascii="仿宋_GB2312" w:hAnsi="仿宋_GB2312" w:eastAsia="仿宋_GB2312" w:cs="仿宋_GB2312"/>
          <w:color w:val="000000"/>
          <w:kern w:val="0"/>
          <w:sz w:val="32"/>
          <w:szCs w:val="32"/>
        </w:rPr>
        <w:t>按照县委政府职能划分，县综合行政执法局主要负责现场建成区主要街道清扫保洁、垃圾清运、市政环卫设施的清洗维护、主要街道的市容秩序管护及生活及建筑施工噪声污染、城区餐饮油烟污染治理及洗车点位、脏车入城、随意堆放、倾倒废物的监督管理等职责。</w:t>
      </w:r>
    </w:p>
    <w:p>
      <w:pPr>
        <w:spacing w:line="360" w:lineRule="auto"/>
        <w:ind w:firstLine="643"/>
        <w:rPr>
          <w:rFonts w:ascii="仿宋" w:hAnsi="仿宋" w:eastAsia="仿宋"/>
          <w:color w:val="000000"/>
          <w:sz w:val="32"/>
          <w:szCs w:val="32"/>
        </w:rPr>
      </w:pPr>
      <w:r>
        <w:rPr>
          <w:rFonts w:hint="eastAsia" w:ascii="仿宋_GB2312" w:hAnsi="仿宋_GB2312" w:eastAsia="仿宋_GB2312" w:cs="仿宋_GB2312"/>
          <w:color w:val="000000"/>
          <w:kern w:val="0"/>
          <w:sz w:val="32"/>
          <w:szCs w:val="32"/>
          <w:shd w:val="clear" w:color="auto" w:fill="FFFFFF"/>
          <w:lang w:val="zh-CN"/>
        </w:rPr>
        <w:t>（三）人员概况。</w:t>
      </w:r>
      <w:r>
        <w:rPr>
          <w:rFonts w:hint="eastAsia" w:ascii="仿宋_GB2312" w:hAnsi="仿宋_GB2312" w:eastAsia="仿宋_GB2312" w:cs="仿宋_GB2312"/>
          <w:color w:val="000000"/>
          <w:sz w:val="32"/>
          <w:szCs w:val="32"/>
        </w:rPr>
        <w:t>平昌县综合行政执法局单位编制数59人，其中行政编制6人，机关工勤编制5人，参公事业编制16人，城镇综合执法大队参工事业工勤编制21人，事业编制11人。截止2020年12月30日，该局实有在岗人员35人（县处级2人，科级12人，科级以下事业及工勤19人、科员2人），在编不在岗0人；环卫所单位编制人数116人，在编在岗人员74人。</w:t>
      </w:r>
    </w:p>
    <w:p>
      <w:pPr>
        <w:spacing w:line="360" w:lineRule="auto"/>
        <w:ind w:firstLine="643"/>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二、部门财政资金收支情况</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kern w:val="0"/>
          <w:sz w:val="32"/>
          <w:szCs w:val="32"/>
          <w:shd w:val="clear" w:color="auto" w:fill="FFFFFF"/>
          <w:lang w:val="zh-CN"/>
        </w:rPr>
        <w:t>（一）部门财政资金收入情况。</w:t>
      </w:r>
      <w:r>
        <w:rPr>
          <w:rFonts w:hint="eastAsia" w:ascii="仿宋_GB2312" w:hAnsi="仿宋_GB2312" w:eastAsia="仿宋_GB2312" w:cs="仿宋_GB2312"/>
          <w:color w:val="000000"/>
          <w:sz w:val="32"/>
          <w:szCs w:val="32"/>
        </w:rPr>
        <w:t>2020年度收、支总计各4668.85万元。与2019年相比，收、支总计各增加559.24万元，增长 11.97%。主要变动原因：增加了城乡生活垃圾集中外运经费，城区和部份新区环卫清扫保洁、垃圾一级转运和公厕管理购买服务等。</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val="zh-CN"/>
        </w:rPr>
        <w:t>（二）部门财政资金支出情况。</w:t>
      </w:r>
      <w:r>
        <w:rPr>
          <w:rFonts w:hint="eastAsia" w:ascii="仿宋_GB2312" w:hAnsi="仿宋_GB2312" w:eastAsia="仿宋_GB2312" w:cs="仿宋_GB2312"/>
          <w:kern w:val="0"/>
          <w:sz w:val="32"/>
          <w:szCs w:val="32"/>
        </w:rPr>
        <w:t>2020年支出合计4668.86万元，其中：</w:t>
      </w:r>
      <w:r>
        <w:rPr>
          <w:rFonts w:hint="eastAsia" w:ascii="仿宋_GB2312" w:hAnsi="仿宋_GB2312" w:eastAsia="仿宋_GB2312" w:cs="仿宋_GB2312"/>
          <w:sz w:val="32"/>
          <w:szCs w:val="32"/>
        </w:rPr>
        <w:t>基本支出1896.27万元，占40.6%；项目支出2772.59万元，占59.4%。</w:t>
      </w:r>
      <w:r>
        <w:rPr>
          <w:rFonts w:hint="eastAsia" w:ascii="仿宋_GB2312" w:hAnsi="仿宋_GB2312" w:eastAsia="仿宋_GB2312" w:cs="仿宋_GB2312"/>
          <w:kern w:val="0"/>
          <w:sz w:val="32"/>
          <w:szCs w:val="32"/>
        </w:rPr>
        <w:t>其中：</w:t>
      </w:r>
      <w:r>
        <w:rPr>
          <w:rFonts w:hint="eastAsia" w:ascii="仿宋_GB2312" w:hAnsi="仿宋_GB2312" w:eastAsia="仿宋_GB2312" w:cs="仿宋_GB2312"/>
          <w:sz w:val="32"/>
          <w:szCs w:val="32"/>
        </w:rPr>
        <w:t>人员经费1271.55万元，主要包括：基本工资171.27万元、津贴补贴294.38万元、奖金352.34万元、绩效工资0万元、机关事业单位基本养老保险缴费121.12万元、职业年金缴费0万元、职工基本医疗保险缴费75.01万元、公务员医疗补助缴费4.8万元、其他社会保障缴费5.75万元、其他工资福利支出246.90万元、抚恤金0万元、生活补助385.45万元、其他个人和家庭的补助17.96万元。　　</w:t>
      </w:r>
    </w:p>
    <w:p>
      <w:pPr>
        <w:spacing w:line="560" w:lineRule="exact"/>
        <w:ind w:firstLine="640"/>
        <w:outlineLvl w:val="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日常公用经费221.3万元，主要包括：办公费5.24万元、印刷费3.62万元、水费2.55万元、电费4.04万元、邮电费1.41万元、差旅费18.35万元、维修（护）费19.06万元、租赁费7.81万元、会议费0.1万元、培训费0.68万元、公务接待费0.6万元、专用材料费1.5万元、专用燃料费18.11万元、劳务费32.29万元、工会经费24万元、公务用车运行维护费5.10万元、其他交通费33.81万元、其他商品和服务支出17.03万元。</w:t>
      </w:r>
    </w:p>
    <w:p>
      <w:pPr>
        <w:spacing w:line="360" w:lineRule="auto"/>
        <w:ind w:firstLine="643"/>
        <w:rPr>
          <w:rFonts w:hint="eastAsia"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三、部门整体预算绩效管理情况</w:t>
      </w:r>
    </w:p>
    <w:p>
      <w:pPr>
        <w:spacing w:line="560" w:lineRule="exact"/>
        <w:ind w:firstLine="643" w:firstLineChars="200"/>
        <w:rPr>
          <w:rFonts w:hint="eastAsia"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lang w:val="zh-CN"/>
        </w:rPr>
        <w:t>（一）部门预算管理。</w:t>
      </w:r>
      <w:r>
        <w:rPr>
          <w:rFonts w:hint="eastAsia" w:ascii="仿宋_GB2312" w:hAnsi="仿宋_GB2312" w:eastAsia="仿宋_GB2312" w:cs="仿宋_GB2312"/>
          <w:color w:val="000000"/>
          <w:sz w:val="32"/>
          <w:szCs w:val="32"/>
        </w:rPr>
        <w:t>平昌县综合行政执法局（含平昌县环境卫生管理所、鑫鑫环境治理有限公司、润泽卫生保洁服务有限公司、永吉物业管理有限公司）预算编制紧紧围绕“抓品质提升、强管理、控支出、保稳定”突出重点，与我单位各项事业发展规划相适应，严格按照要求编制预算。编制期初，认真梳理工作重点，科学、真实、准确、全面测算各项收支计划，严格控制“三公”经费等支出，严格按照实际情况上报本单位预算编制，切实控制和降低运行成本，切实做到加强预算管理、细化预算编制、推进预算编制与预算执行相结合，提高预算管理的科学化、精细化水平。按照绩效管理要求，在编制预算时我们着重体现预算绩效管理意识，将绩效理念融入预算管理全过程，使之与预算编制、预算执行和预算监督一并成为预算管理的有机组成部分。</w:t>
      </w:r>
    </w:p>
    <w:p>
      <w:pPr>
        <w:spacing w:line="560" w:lineRule="exact"/>
        <w:ind w:firstLine="643" w:firstLineChars="200"/>
        <w:rPr>
          <w:rFonts w:hint="eastAsia"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（二）结果应用情况。</w:t>
      </w:r>
    </w:p>
    <w:p>
      <w:pPr>
        <w:ind w:firstLine="640" w:firstLineChars="200"/>
        <w:jc w:val="left"/>
        <w:rPr>
          <w:rFonts w:ascii="仿宋_GB2312" w:hAnsi="Calibri" w:eastAsia="仿宋_GB2312" w:cs="仿宋"/>
          <w:color w:val="000000"/>
          <w:kern w:val="0"/>
          <w:sz w:val="32"/>
          <w:szCs w:val="32"/>
        </w:rPr>
      </w:pPr>
      <w:r>
        <w:rPr>
          <w:rFonts w:hint="eastAsia" w:ascii="仿宋_GB2312" w:hAnsi="宋体" w:eastAsia="仿宋_GB2312" w:cs="宋体"/>
          <w:color w:val="000000"/>
          <w:kern w:val="0"/>
          <w:sz w:val="32"/>
          <w:szCs w:val="32"/>
          <w:shd w:val="clear" w:color="auto" w:fill="FFFFFF"/>
        </w:rPr>
        <w:t>1.</w:t>
      </w:r>
      <w:r>
        <w:rPr>
          <w:rFonts w:hint="eastAsia" w:ascii="仿宋_GB2312" w:hAnsi="宋体" w:eastAsia="仿宋_GB2312" w:cs="宋体"/>
          <w:color w:val="000000"/>
          <w:kern w:val="0"/>
          <w:sz w:val="32"/>
          <w:szCs w:val="32"/>
          <w:shd w:val="clear" w:color="auto" w:fill="FFFFFF"/>
          <w:lang w:val="zh-CN"/>
        </w:rPr>
        <w:t>绩效自评公开</w:t>
      </w:r>
      <w:r>
        <w:rPr>
          <w:rFonts w:hint="eastAsia" w:ascii="仿宋_GB2312" w:hAnsi="Calibri" w:eastAsia="仿宋_GB2312" w:cs="仿宋"/>
          <w:color w:val="000000"/>
          <w:kern w:val="0"/>
          <w:sz w:val="32"/>
          <w:szCs w:val="32"/>
        </w:rPr>
        <w:t>2020年，在县委、县政府的正确领导下，在县人大、县政协的监督支持下，县综合行政执法局紧紧围绕打造宜居、宜游、宜业的城市环境目标，凝心聚力，攻坚克难，扎实开展城市环境综合整治，全面加强执法队伍建设，积极探索城市长效管理机制，城市管理工作持续向规范化、标准化、制度化、常态化转变，城市容貌秩序持续改善，城市形象进一步提升。</w:t>
      </w:r>
    </w:p>
    <w:p>
      <w:pPr>
        <w:pStyle w:val="13"/>
        <w:spacing w:line="560" w:lineRule="exact"/>
        <w:ind w:firstLine="640" w:firstLineChars="200"/>
        <w:rPr>
          <w:rFonts w:ascii="仿宋_GB2312" w:hAnsi="Calibri" w:eastAsia="仿宋_GB2312" w:cs="仿宋"/>
          <w:color w:val="000000"/>
          <w:sz w:val="32"/>
          <w:szCs w:val="32"/>
        </w:rPr>
      </w:pPr>
      <w:r>
        <w:rPr>
          <w:rFonts w:ascii="仿宋_GB2312" w:hAnsi="Calibri" w:eastAsia="仿宋_GB2312" w:cs="仿宋"/>
          <w:color w:val="000000"/>
          <w:sz w:val="32"/>
          <w:szCs w:val="32"/>
        </w:rPr>
        <w:t>2.评价结果</w:t>
      </w:r>
      <w:r>
        <w:rPr>
          <w:rFonts w:hint="eastAsia" w:ascii="仿宋_GB2312" w:hAnsi="Calibri" w:eastAsia="仿宋_GB2312" w:cs="仿宋"/>
          <w:color w:val="000000"/>
          <w:sz w:val="32"/>
          <w:szCs w:val="32"/>
        </w:rPr>
        <w:t>整改</w:t>
      </w:r>
    </w:p>
    <w:p>
      <w:pPr>
        <w:spacing w:line="560"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我</w:t>
      </w:r>
      <w:r>
        <w:rPr>
          <w:rFonts w:hint="eastAsia" w:ascii="仿宋_GB2312" w:hAnsi="Calibri" w:eastAsia="仿宋_GB2312" w:cs="仿宋"/>
          <w:color w:val="000000"/>
          <w:kern w:val="0"/>
          <w:sz w:val="32"/>
          <w:szCs w:val="32"/>
        </w:rPr>
        <w:t>局</w:t>
      </w:r>
      <w:r>
        <w:rPr>
          <w:rFonts w:ascii="仿宋_GB2312" w:hAnsi="Calibri" w:eastAsia="仿宋_GB2312" w:cs="仿宋"/>
          <w:color w:val="000000"/>
          <w:kern w:val="0"/>
          <w:sz w:val="32"/>
          <w:szCs w:val="32"/>
        </w:rPr>
        <w:t>紧紧围绕中央、省、市、县各项决策部署，认真履行职责，办好政府的各项会务工作，组织实施会议决定事项。着力创新发展思路，扎实做好办内各项管理，加快推进平昌发展，有效完成了年初各项工作任务。</w:t>
      </w:r>
    </w:p>
    <w:p>
      <w:pPr>
        <w:widowControl/>
        <w:adjustRightInd w:val="0"/>
        <w:snapToGrid w:val="0"/>
        <w:spacing w:line="580" w:lineRule="exact"/>
        <w:ind w:left="672"/>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四、评价结论及建议</w:t>
      </w:r>
    </w:p>
    <w:p>
      <w:pPr>
        <w:pStyle w:val="13"/>
        <w:spacing w:line="560" w:lineRule="exact"/>
        <w:ind w:firstLine="643" w:firstLineChars="200"/>
        <w:rPr>
          <w:rFonts w:ascii="楷体_GB2312" w:hAnsi="Calibri" w:eastAsia="楷体_GB2312" w:cs="仿宋"/>
          <w:b/>
          <w:color w:val="000000"/>
          <w:sz w:val="32"/>
          <w:szCs w:val="32"/>
        </w:rPr>
      </w:pPr>
      <w:r>
        <w:rPr>
          <w:rFonts w:hint="eastAsia" w:ascii="楷体_GB2312" w:hAnsi="Calibri" w:eastAsia="楷体_GB2312" w:cs="仿宋"/>
          <w:b/>
          <w:color w:val="000000"/>
          <w:sz w:val="32"/>
          <w:szCs w:val="32"/>
        </w:rPr>
        <w:t>（一）评价结论</w:t>
      </w:r>
    </w:p>
    <w:p>
      <w:pPr>
        <w:pStyle w:val="13"/>
        <w:spacing w:line="560" w:lineRule="exact"/>
        <w:ind w:firstLine="640" w:firstLineChars="200"/>
        <w:rPr>
          <w:rFonts w:ascii="仿宋_GB2312" w:hAnsi="Calibri" w:eastAsia="仿宋_GB2312" w:cs="仿宋"/>
          <w:color w:val="000000"/>
          <w:sz w:val="32"/>
          <w:szCs w:val="32"/>
        </w:rPr>
      </w:pPr>
      <w:r>
        <w:rPr>
          <w:rFonts w:ascii="仿宋_GB2312" w:hAnsi="Calibri" w:eastAsia="仿宋_GB2312" w:cs="仿宋"/>
          <w:color w:val="000000"/>
          <w:sz w:val="32"/>
          <w:szCs w:val="32"/>
        </w:rPr>
        <w:t>一是预算执行到位。严格执行《预算法》和各项财经纪律，机关管理制度健全，财务管理规范，预算编制合理;二是资金监管到位。经费开支按用途使用合理，做到专账专管,专款专用。</w:t>
      </w:r>
    </w:p>
    <w:p>
      <w:pPr>
        <w:pStyle w:val="13"/>
        <w:spacing w:line="560" w:lineRule="exact"/>
        <w:ind w:firstLine="643" w:firstLineChars="200"/>
        <w:rPr>
          <w:rFonts w:ascii="楷体_GB2312" w:hAnsi="Calibri" w:eastAsia="楷体_GB2312" w:cs="仿宋"/>
          <w:b/>
          <w:color w:val="000000"/>
          <w:sz w:val="32"/>
          <w:szCs w:val="32"/>
        </w:rPr>
      </w:pPr>
      <w:r>
        <w:rPr>
          <w:rFonts w:ascii="楷体_GB2312" w:hAnsi="Calibri" w:eastAsia="楷体_GB2312" w:cs="仿宋"/>
          <w:b/>
          <w:color w:val="000000"/>
          <w:sz w:val="32"/>
          <w:szCs w:val="32"/>
        </w:rPr>
        <w:t>（二）存在的问题</w:t>
      </w:r>
    </w:p>
    <w:p>
      <w:pPr>
        <w:autoSpaceDE w:val="0"/>
        <w:spacing w:line="560"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在预算编制的过程中，部门预算编制存在编制不科学、不合理情况，涉及我</w:t>
      </w:r>
      <w:r>
        <w:rPr>
          <w:rFonts w:hint="eastAsia" w:ascii="仿宋_GB2312" w:hAnsi="Calibri" w:eastAsia="仿宋_GB2312" w:cs="仿宋"/>
          <w:color w:val="000000"/>
          <w:kern w:val="0"/>
          <w:sz w:val="32"/>
          <w:szCs w:val="32"/>
        </w:rPr>
        <w:t>局</w:t>
      </w:r>
      <w:r>
        <w:rPr>
          <w:rFonts w:ascii="仿宋_GB2312" w:hAnsi="Calibri" w:eastAsia="仿宋_GB2312" w:cs="仿宋"/>
          <w:color w:val="000000"/>
          <w:kern w:val="0"/>
          <w:sz w:val="32"/>
          <w:szCs w:val="32"/>
        </w:rPr>
        <w:t>部分经费短缺，导致年初预算不能满足实际工作需要，调整预算幅度过大。</w:t>
      </w:r>
    </w:p>
    <w:p>
      <w:pPr>
        <w:pStyle w:val="13"/>
        <w:spacing w:line="560" w:lineRule="exact"/>
        <w:ind w:firstLine="643" w:firstLineChars="200"/>
        <w:rPr>
          <w:rFonts w:ascii="楷体_GB2312" w:hAnsi="Calibri" w:eastAsia="楷体_GB2312" w:cs="仿宋"/>
          <w:b/>
          <w:color w:val="000000"/>
          <w:sz w:val="32"/>
          <w:szCs w:val="32"/>
        </w:rPr>
      </w:pPr>
      <w:r>
        <w:rPr>
          <w:rFonts w:ascii="楷体_GB2312" w:hAnsi="Calibri" w:eastAsia="楷体_GB2312" w:cs="仿宋"/>
          <w:b/>
          <w:color w:val="000000"/>
          <w:sz w:val="32"/>
          <w:szCs w:val="32"/>
        </w:rPr>
        <w:t>（三）改进措施及建议</w:t>
      </w:r>
    </w:p>
    <w:p>
      <w:pPr>
        <w:autoSpaceDE w:val="0"/>
        <w:spacing w:line="560"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1.进一步加强对《预算法》的学习，提升财务管理能力，加强对绩效评价结果的运用，不断总结经验、优化完善，切实做好部门预算编制及整体支出绩效评价工作。</w:t>
      </w:r>
    </w:p>
    <w:p>
      <w:pPr>
        <w:autoSpaceDE w:val="0"/>
        <w:spacing w:line="560" w:lineRule="exact"/>
        <w:ind w:firstLine="640" w:firstLineChars="200"/>
        <w:rPr>
          <w:rFonts w:ascii="仿宋_GB2312" w:hAnsi="Calibri" w:eastAsia="仿宋_GB2312" w:cs="仿宋"/>
          <w:color w:val="000000"/>
          <w:kern w:val="0"/>
          <w:sz w:val="32"/>
          <w:szCs w:val="32"/>
        </w:rPr>
      </w:pPr>
      <w:r>
        <w:rPr>
          <w:rFonts w:ascii="仿宋_GB2312" w:hAnsi="Calibri" w:eastAsia="仿宋_GB2312" w:cs="仿宋"/>
          <w:color w:val="000000"/>
          <w:kern w:val="0"/>
          <w:sz w:val="32"/>
          <w:szCs w:val="32"/>
        </w:rPr>
        <w:t>2.持续抓好“三公经费”控制管理。严格控制“三公经费”的规模和比例，进一步细化“三公经费”的管理，合理压缩“三公经费”支出。</w:t>
      </w:r>
    </w:p>
    <w:p>
      <w:pPr>
        <w:spacing w:line="580" w:lineRule="exact"/>
        <w:rPr>
          <w:rFonts w:ascii="黑体" w:hAnsi="黑体" w:eastAsia="黑体" w:cs="黑体"/>
          <w:sz w:val="32"/>
          <w:szCs w:val="32"/>
        </w:rPr>
      </w:pPr>
    </w:p>
    <w:p>
      <w:pPr>
        <w:spacing w:line="580" w:lineRule="exact"/>
        <w:rPr>
          <w:rFonts w:ascii="仿宋_GB2312" w:hAnsi="仿宋_GB2312" w:eastAsia="仿宋_GB2312" w:cs="仿宋_GB2312"/>
          <w:sz w:val="32"/>
          <w:szCs w:val="32"/>
        </w:rPr>
      </w:pPr>
      <w:r>
        <w:rPr>
          <w:rFonts w:hint="eastAsia" w:ascii="黑体" w:hAnsi="黑体" w:eastAsia="黑体" w:cs="黑体"/>
          <w:sz w:val="32"/>
          <w:szCs w:val="32"/>
        </w:rPr>
        <w:t>附件2</w:t>
      </w:r>
    </w:p>
    <w:p>
      <w:pPr>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2020年关于城镇垃圾集中转运项目年运行费</w:t>
      </w:r>
    </w:p>
    <w:p>
      <w:pPr>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绩效评价报告</w:t>
      </w:r>
    </w:p>
    <w:p>
      <w:pPr>
        <w:spacing w:line="360" w:lineRule="auto"/>
        <w:ind w:right="160" w:firstLine="480"/>
        <w:rPr>
          <w:rFonts w:ascii="宋体" w:hAnsi="宋体" w:cs="宋体"/>
          <w:sz w:val="24"/>
        </w:rPr>
      </w:pPr>
    </w:p>
    <w:p>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一、项目基本情况</w:t>
      </w:r>
    </w:p>
    <w:p>
      <w:pPr>
        <w:adjustRightInd w:val="0"/>
        <w:snapToGrid w:val="0"/>
        <w:spacing w:line="560" w:lineRule="exact"/>
        <w:ind w:firstLine="720"/>
        <w:rPr>
          <w:rFonts w:ascii="黑体" w:hAnsi="黑体" w:eastAsia="黑体" w:cs="黑体"/>
          <w:sz w:val="32"/>
          <w:szCs w:val="32"/>
        </w:rPr>
      </w:pPr>
      <w:r>
        <w:rPr>
          <w:rFonts w:hint="eastAsia" w:ascii="黑体" w:hAnsi="黑体" w:eastAsia="黑体" w:cs="黑体"/>
          <w:sz w:val="32"/>
          <w:szCs w:val="32"/>
          <w:lang w:val="zh-CN"/>
        </w:rPr>
        <w:t>（一）项目基本情况</w:t>
      </w:r>
    </w:p>
    <w:p>
      <w:pPr>
        <w:spacing w:line="560" w:lineRule="exact"/>
        <w:ind w:right="160" w:firstLine="4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基本情况：按照“绿色、环保、生态”的发展理念，并结合平昌县乡镇生活垃圾收运体系PPP建设的总体思路，2017年10月启动了平昌县城乡生活垃圾收运体系项目，在镇龙镇、望京镇、笔山镇、邱家镇、板庙镇、云台镇、元山镇、得胜镇、驷马镇、雷山社区、响滩镇、白衣镇、岳家镇、土垭镇、大寨镇等15处乡镇建生活垃圾中转站，在县城金宝、华严、龙潭溪分别建日处理100吨的生活垃圾压缩中转站，以彻底解决平昌县城乡生活垃圾处置不规范，污染环境等问题。</w:t>
      </w:r>
    </w:p>
    <w:p>
      <w:pPr>
        <w:numPr>
          <w:ilvl w:val="0"/>
          <w:numId w:val="5"/>
        </w:numPr>
        <w:suppressAutoHyphens/>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项目绩效目标</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1.项目主要内容</w:t>
      </w:r>
    </w:p>
    <w:p>
      <w:pPr>
        <w:spacing w:line="560" w:lineRule="exact"/>
        <w:ind w:right="160" w:firstLine="481"/>
        <w:rPr>
          <w:rFonts w:hint="eastAsia" w:ascii="仿宋_GB2312" w:hAnsi="仿宋_GB2312" w:eastAsia="仿宋_GB2312" w:cs="仿宋_GB2312"/>
          <w:bCs/>
          <w:sz w:val="32"/>
          <w:szCs w:val="32"/>
        </w:rPr>
      </w:pPr>
      <w:r>
        <w:rPr>
          <w:rFonts w:hint="eastAsia" w:ascii="仿宋" w:hAnsi="仿宋" w:eastAsia="仿宋" w:cs="仿宋"/>
          <w:sz w:val="32"/>
          <w:szCs w:val="32"/>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Cs/>
          <w:sz w:val="32"/>
          <w:szCs w:val="32"/>
        </w:rPr>
        <w:t>对辖区内13处管辖乡镇建垃圾集中转运站包括镇龙镇、望京镇、笔山镇、邱家镇、云台镇、元山镇、得胜镇、驷马雷山社区、响滩镇、白衣镇、岳家镇、土垭镇、大寨镇。在县城金宝、华严、龙潭溪分别建日处理100吨的生活垃圾压缩中转站。</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2.实现绩效目标</w:t>
      </w:r>
    </w:p>
    <w:p>
      <w:pPr>
        <w:spacing w:line="560" w:lineRule="exact"/>
        <w:ind w:right="160" w:firstLine="481"/>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转运项目要达到可使用状态，确保所有乡镇、社区生活垃圾实现就近转运和集中运输，乡镇所有中转站要全部建成投用。</w:t>
      </w:r>
    </w:p>
    <w:p>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二、项目资金申报及使用情况</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（一）项目资金申报及批复情况</w:t>
      </w:r>
    </w:p>
    <w:p>
      <w:pPr>
        <w:spacing w:line="560" w:lineRule="exact"/>
        <w:ind w:right="160"/>
        <w:rPr>
          <w:rFonts w:ascii="仿宋" w:hAnsi="仿宋" w:eastAsia="仿宋" w:cs="仿宋"/>
          <w:color w:val="000000"/>
          <w:sz w:val="32"/>
          <w:szCs w:val="32"/>
          <w:shd w:val="clear" w:color="auto" w:fill="FFFFFF"/>
        </w:rPr>
      </w:pPr>
      <w:r>
        <w:rPr>
          <w:rFonts w:hint="eastAsia" w:ascii="仿宋" w:hAnsi="仿宋" w:eastAsia="仿宋" w:cs="仿宋"/>
          <w:sz w:val="32"/>
          <w:szCs w:val="32"/>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zh-CN"/>
        </w:rPr>
        <w:t>该项目2018年1月18日经县发改局批复立项，2018年2月6日经县财政局财政评审后启动项目建设，2019年初除板庙、驷马暂停建设外其余中转站全部建成投入使用，</w:t>
      </w:r>
      <w:r>
        <w:rPr>
          <w:rFonts w:hint="eastAsia" w:ascii="仿宋_GB2312" w:hAnsi="仿宋_GB2312" w:eastAsia="仿宋_GB2312" w:cs="仿宋_GB2312"/>
          <w:sz w:val="32"/>
          <w:szCs w:val="32"/>
        </w:rPr>
        <w:t>按照管理权限负责对平昌县城镇垃圾集中转运进行管理。</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（二）项目资金计划、到位和使用情况</w:t>
      </w:r>
    </w:p>
    <w:p>
      <w:pPr>
        <w:spacing w:line="560" w:lineRule="exact"/>
        <w:ind w:right="160"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bCs/>
          <w:sz w:val="32"/>
          <w:szCs w:val="32"/>
        </w:rPr>
        <w:t>1.资金计划。总成本控制在300万元以内，资金来源由</w:t>
      </w:r>
      <w:r>
        <w:rPr>
          <w:rFonts w:hint="eastAsia" w:ascii="仿宋_GB2312" w:hAnsi="仿宋_GB2312" w:eastAsia="仿宋_GB2312" w:cs="仿宋_GB2312"/>
          <w:sz w:val="32"/>
          <w:szCs w:val="32"/>
        </w:rPr>
        <w:t>县财政全额拨款</w:t>
      </w:r>
      <w:r>
        <w:rPr>
          <w:rFonts w:hint="eastAsia" w:ascii="仿宋_GB2312" w:hAnsi="仿宋_GB2312" w:eastAsia="仿宋_GB2312" w:cs="仿宋_GB2312"/>
          <w:bCs/>
          <w:sz w:val="32"/>
          <w:szCs w:val="32"/>
        </w:rPr>
        <w:t>。</w:t>
      </w:r>
    </w:p>
    <w:p>
      <w:pPr>
        <w:adjustRightInd w:val="0"/>
        <w:snapToGrid w:val="0"/>
        <w:spacing w:line="560" w:lineRule="exact"/>
        <w:ind w:firstLine="640" w:firstLineChars="200"/>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rPr>
        <w:t>2.资金到位。</w:t>
      </w:r>
      <w:r>
        <w:rPr>
          <w:rFonts w:hint="eastAsia" w:ascii="仿宋_GB2312" w:hAnsi="仿宋_GB2312" w:eastAsia="仿宋_GB2312" w:cs="仿宋_GB2312"/>
          <w:sz w:val="32"/>
          <w:szCs w:val="32"/>
        </w:rPr>
        <w:t>于2020年初预算申报“城镇垃圾集中转运运行费”300万元，县财政关于对2020年部门财务收支预算的批复，批复城镇垃圾集中转运运行费300万元。截止评价时点</w:t>
      </w:r>
      <w:r>
        <w:rPr>
          <w:rFonts w:hint="eastAsia" w:ascii="仿宋_GB2312" w:hAnsi="仿宋_GB2312" w:eastAsia="仿宋_GB2312" w:cs="仿宋_GB2312"/>
          <w:bCs/>
          <w:sz w:val="32"/>
          <w:szCs w:val="32"/>
          <w:lang w:val="zh-CN"/>
        </w:rPr>
        <w:t>，平昌县城镇垃圾集中转运运行费项目资金</w:t>
      </w:r>
      <w:r>
        <w:rPr>
          <w:rFonts w:hint="eastAsia" w:ascii="仿宋_GB2312" w:hAnsi="仿宋_GB2312" w:eastAsia="仿宋_GB2312" w:cs="仿宋_GB2312"/>
          <w:bCs/>
          <w:sz w:val="32"/>
          <w:szCs w:val="32"/>
        </w:rPr>
        <w:t>300</w:t>
      </w:r>
      <w:r>
        <w:rPr>
          <w:rFonts w:hint="eastAsia" w:ascii="仿宋_GB2312" w:hAnsi="仿宋_GB2312" w:eastAsia="仿宋_GB2312" w:cs="仿宋_GB2312"/>
          <w:bCs/>
          <w:sz w:val="32"/>
          <w:szCs w:val="32"/>
          <w:lang w:val="zh-CN"/>
        </w:rPr>
        <w:t>万元已经</w:t>
      </w:r>
      <w:r>
        <w:rPr>
          <w:rFonts w:hint="eastAsia" w:ascii="仿宋_GB2312" w:hAnsi="仿宋_GB2312" w:eastAsia="仿宋_GB2312" w:cs="仿宋_GB2312"/>
          <w:bCs/>
          <w:sz w:val="32"/>
          <w:szCs w:val="32"/>
        </w:rPr>
        <w:t>全部</w:t>
      </w:r>
      <w:r>
        <w:rPr>
          <w:rFonts w:hint="eastAsia" w:ascii="仿宋_GB2312" w:hAnsi="仿宋_GB2312" w:eastAsia="仿宋_GB2312" w:cs="仿宋_GB2312"/>
          <w:bCs/>
          <w:sz w:val="32"/>
          <w:szCs w:val="32"/>
          <w:lang w:val="zh-CN"/>
        </w:rPr>
        <w:t>到位。</w:t>
      </w:r>
    </w:p>
    <w:p>
      <w:pPr>
        <w:adjustRightInd w:val="0"/>
        <w:snapToGrid w:val="0"/>
        <w:spacing w:line="560" w:lineRule="exact"/>
        <w:ind w:firstLine="640" w:firstLineChars="200"/>
        <w:rPr>
          <w:rFonts w:hint="eastAsia" w:ascii="仿宋_GB2312" w:hAnsi="仿宋_GB2312" w:eastAsia="仿宋_GB2312" w:cs="仿宋_GB2312"/>
          <w:bCs/>
          <w:sz w:val="32"/>
          <w:szCs w:val="32"/>
          <w:lang w:val="zh-CN"/>
        </w:rPr>
      </w:pPr>
      <w:r>
        <w:rPr>
          <w:rFonts w:hint="eastAsia" w:ascii="仿宋_GB2312" w:hAnsi="仿宋_GB2312" w:eastAsia="仿宋_GB2312" w:cs="仿宋_GB2312"/>
          <w:bCs/>
          <w:sz w:val="32"/>
          <w:szCs w:val="32"/>
        </w:rPr>
        <w:t>3.资金使用。</w:t>
      </w:r>
      <w:r>
        <w:rPr>
          <w:rFonts w:hint="eastAsia" w:ascii="仿宋_GB2312" w:hAnsi="仿宋_GB2312" w:eastAsia="仿宋_GB2312" w:cs="仿宋_GB2312"/>
          <w:bCs/>
          <w:sz w:val="32"/>
          <w:szCs w:val="32"/>
          <w:lang w:val="zh-CN"/>
        </w:rPr>
        <w:t>项目支出拨款主要用于城镇生活垃圾收集转运项目，实际支出金额为</w:t>
      </w:r>
      <w:r>
        <w:rPr>
          <w:rFonts w:hint="eastAsia" w:ascii="仿宋_GB2312" w:hAnsi="仿宋_GB2312" w:eastAsia="仿宋_GB2312" w:cs="仿宋_GB2312"/>
          <w:bCs/>
          <w:sz w:val="32"/>
          <w:szCs w:val="32"/>
        </w:rPr>
        <w:t>300</w:t>
      </w:r>
      <w:r>
        <w:rPr>
          <w:rFonts w:hint="eastAsia" w:ascii="仿宋_GB2312" w:hAnsi="仿宋_GB2312" w:eastAsia="仿宋_GB2312" w:cs="仿宋_GB2312"/>
          <w:bCs/>
          <w:sz w:val="32"/>
          <w:szCs w:val="32"/>
          <w:lang w:val="zh-CN"/>
        </w:rPr>
        <w:t>万元，专款专用，无挤占挪用，且该项目资金无结余。</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（三）项目财务管理情况</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1.财务制度建设</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财政专项资金实行“专人管理、专户储存、专项使用”，该项目财务管理坚持“集体领导、主管负责、严格审批、手续完备、开源节流、合理开支”的原则。</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2.财务监管</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按照2020年部门预算批复，被评价单位严格执行预算批复项目和资金预算，按照财务管理制度规范支付，相关经费按照专项资金管理办法进行考核、经费报销填报和审核，经领导批准后，由财务科进行支付并完成会计核算和账务处理，所支付经费合规合理，会计核算和账务处理及时规范。</w:t>
      </w:r>
    </w:p>
    <w:p>
      <w:pPr>
        <w:numPr>
          <w:ilvl w:val="0"/>
          <w:numId w:val="6"/>
        </w:numPr>
        <w:suppressAutoHyphens/>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项目实施及管理情况</w:t>
      </w:r>
    </w:p>
    <w:p>
      <w:pPr>
        <w:adjustRightInd w:val="0"/>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 xml:space="preserve">（一）项目组织架构及实施流程 </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通过现场翻阅相关资料，被评价单位在相关文件中明确了该项目在建立垃圾转运站和生活垃圾压缩中转站中应达到的质量要求和技术标准，内控措施基本健全，项目相关制度、措施符合法律、法规规定。</w:t>
      </w:r>
    </w:p>
    <w:p>
      <w:pPr>
        <w:adjustRightInd w:val="0"/>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 xml:space="preserve">（二）项目管理情况 </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为确保项目顺利实施，由鑫鑫环卫提供40 辆转运车，确保县内生活垃圾的及时输出；同时我处强化检查监管，严格考核项目实施质量。乡镇13座中转站日产约100吨生活垃圾运送至通江垃圾填埋场处理，全程实施密闭运输。项目运行正常，保障了县内生活垃圾的及时输出，达到了预期目标。</w:t>
      </w:r>
    </w:p>
    <w:p>
      <w:pPr>
        <w:adjustRightInd w:val="0"/>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（三）项目监管情况</w:t>
      </w:r>
    </w:p>
    <w:p>
      <w:pPr>
        <w:spacing w:line="56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该项目资金为“城镇垃圾集中转运运行”经费，由我局根据“城镇垃圾集中转运运行”工作需要进行配置，视实际情况使用。资金支出均有相关的授权审批，资金拨付严格按照审批程序，使用规范，会计核算结果真实、准确。</w:t>
      </w:r>
    </w:p>
    <w:p>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四、目标及绩效完成情况</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（一）项目任务完成情况。</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1.数量完成情况</w:t>
      </w:r>
    </w:p>
    <w:p>
      <w:pPr>
        <w:spacing w:line="560" w:lineRule="exact"/>
        <w:ind w:right="160"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对镇龙镇、望京镇、笔山镇、邱家镇、云台镇、元山镇、得胜镇、雷山社区、响滩镇、白衣镇、岳家镇、土垭镇、大寨镇等13处乡镇建立起了生活垃圾中转站。在县城金宝、华严、龙潭溪分别建起了日处理100吨的生活垃圾压缩中转站。</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2.质量完成情况</w:t>
      </w:r>
    </w:p>
    <w:p>
      <w:pPr>
        <w:spacing w:line="560" w:lineRule="exact"/>
        <w:ind w:right="160"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转运项目完成，达到可使用状态，确保所有乡镇、社区生活垃圾实现就近转运和集中运输。</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3.时效完成情况</w:t>
      </w:r>
    </w:p>
    <w:p>
      <w:pPr>
        <w:spacing w:line="560" w:lineRule="exact"/>
        <w:ind w:right="160" w:firstLine="481"/>
        <w:rPr>
          <w:rFonts w:ascii="仿宋" w:hAnsi="仿宋" w:eastAsia="仿宋" w:cs="仿宋"/>
          <w:bCs/>
          <w:sz w:val="32"/>
          <w:szCs w:val="32"/>
        </w:rPr>
      </w:pPr>
      <w:r>
        <w:rPr>
          <w:rFonts w:hint="eastAsia" w:ascii="仿宋_GB2312" w:hAnsi="仿宋_GB2312" w:eastAsia="仿宋_GB2312" w:cs="仿宋_GB2312"/>
          <w:bCs/>
          <w:sz w:val="32"/>
          <w:szCs w:val="32"/>
        </w:rPr>
        <w:t>生活垃圾中转站和生活垃圾压缩中转站在2020年年初已全部建成投用。</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4.成本控制情况</w:t>
      </w:r>
    </w:p>
    <w:p>
      <w:pPr>
        <w:spacing w:line="560" w:lineRule="exact"/>
        <w:ind w:right="160" w:firstLine="481"/>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总成本控制在300万元以内，没有产生其他成本费用。</w:t>
      </w:r>
    </w:p>
    <w:p>
      <w:pPr>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（二）项目效益情况</w:t>
      </w:r>
    </w:p>
    <w:p>
      <w:pPr>
        <w:spacing w:line="560" w:lineRule="exact"/>
        <w:ind w:right="160" w:firstLine="481"/>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通过建立垃圾转运站，实现了城乡生活垃圾就近压缩，集中转运，保证了全县生活垃圾日产日清、全县清扫保洁及垃圾无害化率的提高，为下一步推行生活垃圾袋装化打下了基础，促进了平昌县经济社会发展；通过实施该项目，“以点带面、辐射周边”的城乡生活垃圾转运体系效果逐渐体现，所有乡镇、社区生活垃圾实现了就近转运和集中运输，降低了生活垃圾处置成本、减少了二次污染；通过垃圾集中转运，该项目投用可促进平昌县城乡生活环境提高以及城市可持续发展；通过调查，城乡居民对该项目满意度超过了95%，得到了乡镇居民的认可。</w:t>
      </w:r>
    </w:p>
    <w:p>
      <w:pPr>
        <w:spacing w:line="560" w:lineRule="exact"/>
        <w:ind w:left="630"/>
        <w:rPr>
          <w:rFonts w:ascii="黑体" w:hAnsi="黑体" w:eastAsia="黑体" w:cs="黑体"/>
          <w:sz w:val="32"/>
          <w:szCs w:val="32"/>
        </w:rPr>
      </w:pPr>
      <w:r>
        <w:rPr>
          <w:rFonts w:hint="eastAsia" w:ascii="黑体" w:hAnsi="黑体" w:eastAsia="黑体" w:cs="黑体"/>
          <w:sz w:val="32"/>
          <w:szCs w:val="32"/>
        </w:rPr>
        <w:t>五、存在的问题及建议</w:t>
      </w:r>
    </w:p>
    <w:p>
      <w:pPr>
        <w:numPr>
          <w:ilvl w:val="0"/>
          <w:numId w:val="7"/>
        </w:numPr>
        <w:suppressAutoHyphens/>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存在的问题</w:t>
      </w:r>
    </w:p>
    <w:p>
      <w:pPr>
        <w:spacing w:line="560" w:lineRule="exact"/>
        <w:ind w:right="160" w:firstLine="481"/>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通过2020年实际工作运行，城镇垃圾集中转运项目支出投入不足的现状，在项目实施中产生大量车辆燃油费、维修费、药剂费、人员工资等支出，导致实施效果距离县委、县政府和广大群众的期盼还有一定的差距。</w:t>
      </w:r>
    </w:p>
    <w:p>
      <w:pPr>
        <w:numPr>
          <w:ilvl w:val="0"/>
          <w:numId w:val="7"/>
        </w:numPr>
        <w:suppressAutoHyphens/>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相关建议</w:t>
      </w:r>
    </w:p>
    <w:p>
      <w:pPr>
        <w:spacing w:line="560" w:lineRule="exact"/>
        <w:ind w:right="160" w:firstLine="481"/>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建议县政府批复2021年财政预算时，适当增加城镇垃圾集中转运项目年运行费支出，确保圆满完成县委、县政府交给的任务，不断提升市民满意度，营造良好的人居和经济发展环境。</w:t>
      </w:r>
    </w:p>
    <w:bookmarkEnd w:id="42"/>
    <w:bookmarkEnd w:id="43"/>
    <w:p>
      <w:pPr>
        <w:spacing w:line="600" w:lineRule="exact"/>
        <w:jc w:val="center"/>
        <w:outlineLvl w:val="0"/>
        <w:rPr>
          <w:rFonts w:ascii="黑体" w:hAnsi="黑体" w:eastAsia="黑体"/>
          <w:color w:val="000000"/>
          <w:sz w:val="44"/>
          <w:szCs w:val="44"/>
        </w:rPr>
      </w:pPr>
    </w:p>
    <w:p>
      <w:pPr>
        <w:spacing w:line="600" w:lineRule="exact"/>
        <w:jc w:val="center"/>
        <w:outlineLvl w:val="0"/>
        <w:rPr>
          <w:rFonts w:ascii="黑体" w:hAnsi="黑体" w:eastAsia="黑体"/>
          <w:color w:val="000000"/>
          <w:sz w:val="44"/>
          <w:szCs w:val="44"/>
        </w:rPr>
      </w:pPr>
    </w:p>
    <w:p>
      <w:pPr>
        <w:spacing w:line="600" w:lineRule="exact"/>
        <w:jc w:val="center"/>
        <w:outlineLvl w:val="0"/>
        <w:rPr>
          <w:rFonts w:ascii="黑体" w:hAnsi="黑体" w:eastAsia="黑体"/>
          <w:color w:val="000000"/>
          <w:sz w:val="44"/>
          <w:szCs w:val="44"/>
        </w:rPr>
      </w:pPr>
    </w:p>
    <w:p>
      <w:pPr>
        <w:spacing w:line="600" w:lineRule="exact"/>
        <w:jc w:val="center"/>
        <w:outlineLvl w:val="0"/>
        <w:rPr>
          <w:rFonts w:ascii="黑体" w:hAnsi="黑体" w:eastAsia="黑体"/>
          <w:color w:val="000000"/>
          <w:sz w:val="44"/>
          <w:szCs w:val="44"/>
        </w:rPr>
      </w:pPr>
    </w:p>
    <w:p>
      <w:pPr>
        <w:spacing w:line="600" w:lineRule="exact"/>
        <w:jc w:val="center"/>
        <w:outlineLvl w:val="0"/>
        <w:rPr>
          <w:rFonts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Fonts w:hint="eastAsia" w:ascii="黑体" w:hAnsi="黑体" w:eastAsia="黑体"/>
          <w:color w:val="000000"/>
          <w:sz w:val="44"/>
          <w:szCs w:val="44"/>
        </w:rPr>
      </w:pPr>
    </w:p>
    <w:p>
      <w:pPr>
        <w:spacing w:line="600" w:lineRule="exact"/>
        <w:jc w:val="center"/>
        <w:outlineLvl w:val="0"/>
        <w:rPr>
          <w:rStyle w:val="26"/>
          <w:rFonts w:ascii="黑体" w:hAnsi="黑体" w:eastAsia="黑体"/>
          <w:b w:val="0"/>
        </w:rPr>
      </w:pPr>
      <w:bookmarkStart w:id="57" w:name="_GoBack"/>
      <w:bookmarkEnd w:id="57"/>
      <w:r>
        <w:rPr>
          <w:rFonts w:hint="eastAsia" w:ascii="黑体" w:hAnsi="黑体" w:eastAsia="黑体"/>
          <w:color w:val="000000"/>
          <w:sz w:val="44"/>
          <w:szCs w:val="44"/>
        </w:rPr>
        <w:t>第</w:t>
      </w:r>
      <w:r>
        <w:rPr>
          <w:rStyle w:val="26"/>
          <w:rFonts w:hint="eastAsia" w:ascii="黑体" w:hAnsi="黑体" w:eastAsia="黑体"/>
          <w:b w:val="0"/>
        </w:rPr>
        <w:t>五部分 附表</w:t>
      </w:r>
    </w:p>
    <w:p>
      <w:pPr>
        <w:spacing w:line="600" w:lineRule="exact"/>
        <w:jc w:val="center"/>
        <w:outlineLvl w:val="0"/>
        <w:rPr>
          <w:rFonts w:ascii="仿宋" w:hAnsi="仿宋" w:eastAsia="仿宋"/>
          <w:b/>
          <w:color w:val="000000"/>
          <w:sz w:val="44"/>
          <w:szCs w:val="44"/>
        </w:rPr>
      </w:pPr>
    </w:p>
    <w:p>
      <w:pPr>
        <w:pStyle w:val="3"/>
        <w:rPr>
          <w:rFonts w:ascii="仿宋" w:hAnsi="仿宋" w:eastAsia="仿宋"/>
          <w:color w:val="000000"/>
        </w:rPr>
      </w:pPr>
      <w:bookmarkStart w:id="44" w:name="_Toc15396619"/>
      <w:r>
        <w:rPr>
          <w:rFonts w:hint="eastAsia" w:ascii="仿宋" w:hAnsi="仿宋" w:eastAsia="仿宋"/>
          <w:b w:val="0"/>
          <w:color w:val="000000"/>
        </w:rPr>
        <w:t>一、收</w:t>
      </w:r>
      <w:r>
        <w:rPr>
          <w:rStyle w:val="27"/>
          <w:rFonts w:hint="eastAsia" w:ascii="仿宋" w:hAnsi="仿宋" w:eastAsia="仿宋"/>
          <w:b w:val="0"/>
          <w:bCs w:val="0"/>
        </w:rPr>
        <w:t>入支出决算总表</w:t>
      </w:r>
      <w:bookmarkEnd w:id="44"/>
    </w:p>
    <w:p>
      <w:pPr>
        <w:pStyle w:val="3"/>
        <w:rPr>
          <w:rFonts w:ascii="仿宋" w:hAnsi="仿宋" w:eastAsia="仿宋"/>
          <w:color w:val="000000"/>
        </w:rPr>
      </w:pPr>
      <w:bookmarkStart w:id="45" w:name="_Toc15396620"/>
      <w:r>
        <w:rPr>
          <w:rFonts w:hint="eastAsia" w:ascii="仿宋" w:hAnsi="仿宋" w:eastAsia="仿宋"/>
          <w:b w:val="0"/>
          <w:color w:val="000000"/>
        </w:rPr>
        <w:t>二、收</w:t>
      </w:r>
      <w:r>
        <w:rPr>
          <w:rStyle w:val="27"/>
          <w:rFonts w:hint="eastAsia" w:ascii="仿宋" w:hAnsi="仿宋" w:eastAsia="仿宋"/>
          <w:b w:val="0"/>
          <w:bCs w:val="0"/>
        </w:rPr>
        <w:t>入决算表</w:t>
      </w:r>
      <w:bookmarkEnd w:id="45"/>
    </w:p>
    <w:p>
      <w:pPr>
        <w:pStyle w:val="3"/>
        <w:rPr>
          <w:rFonts w:ascii="仿宋" w:hAnsi="仿宋" w:eastAsia="仿宋"/>
          <w:color w:val="000000"/>
        </w:rPr>
      </w:pPr>
      <w:bookmarkStart w:id="46" w:name="_Toc15396621"/>
      <w:r>
        <w:rPr>
          <w:rStyle w:val="27"/>
          <w:rFonts w:hint="eastAsia" w:ascii="仿宋" w:hAnsi="仿宋" w:eastAsia="仿宋"/>
          <w:b w:val="0"/>
          <w:bCs w:val="0"/>
        </w:rPr>
        <w:t>三、</w:t>
      </w:r>
      <w:r>
        <w:rPr>
          <w:rFonts w:hint="eastAsia" w:ascii="仿宋" w:hAnsi="仿宋" w:eastAsia="仿宋"/>
          <w:b w:val="0"/>
          <w:color w:val="000000"/>
        </w:rPr>
        <w:t>支</w:t>
      </w:r>
      <w:r>
        <w:rPr>
          <w:rStyle w:val="27"/>
          <w:rFonts w:hint="eastAsia" w:ascii="仿宋" w:hAnsi="仿宋" w:eastAsia="仿宋"/>
          <w:b w:val="0"/>
          <w:bCs w:val="0"/>
        </w:rPr>
        <w:t>出决算表</w:t>
      </w:r>
      <w:bookmarkEnd w:id="46"/>
    </w:p>
    <w:p>
      <w:pPr>
        <w:pStyle w:val="3"/>
        <w:rPr>
          <w:rFonts w:ascii="仿宋" w:hAnsi="仿宋" w:eastAsia="仿宋"/>
          <w:b w:val="0"/>
          <w:color w:val="000000"/>
        </w:rPr>
      </w:pPr>
      <w:bookmarkStart w:id="47" w:name="_Toc15396622"/>
      <w:r>
        <w:rPr>
          <w:rStyle w:val="27"/>
          <w:rFonts w:hint="eastAsia" w:ascii="仿宋" w:hAnsi="仿宋" w:eastAsia="仿宋"/>
          <w:b w:val="0"/>
          <w:bCs w:val="0"/>
        </w:rPr>
        <w:t>四、</w:t>
      </w:r>
      <w:r>
        <w:rPr>
          <w:rFonts w:hint="eastAsia" w:ascii="仿宋" w:hAnsi="仿宋" w:eastAsia="仿宋"/>
          <w:b w:val="0"/>
          <w:color w:val="000000"/>
        </w:rPr>
        <w:t>财</w:t>
      </w:r>
      <w:r>
        <w:rPr>
          <w:rStyle w:val="27"/>
          <w:rFonts w:hint="eastAsia" w:ascii="仿宋" w:hAnsi="仿宋" w:eastAsia="仿宋"/>
          <w:b w:val="0"/>
          <w:bCs w:val="0"/>
        </w:rPr>
        <w:t>政拨款收入支出决算总表</w:t>
      </w:r>
      <w:bookmarkEnd w:id="47"/>
    </w:p>
    <w:p>
      <w:pPr>
        <w:pStyle w:val="3"/>
        <w:rPr>
          <w:rStyle w:val="27"/>
          <w:rFonts w:ascii="仿宋" w:hAnsi="仿宋" w:eastAsia="仿宋"/>
          <w:b w:val="0"/>
          <w:bCs w:val="0"/>
        </w:rPr>
      </w:pPr>
      <w:bookmarkStart w:id="48" w:name="_Toc15396623"/>
      <w:r>
        <w:rPr>
          <w:rStyle w:val="27"/>
          <w:rFonts w:hint="eastAsia" w:ascii="仿宋" w:hAnsi="仿宋" w:eastAsia="仿宋"/>
          <w:b w:val="0"/>
          <w:bCs w:val="0"/>
        </w:rPr>
        <w:t>五、</w:t>
      </w:r>
      <w:r>
        <w:rPr>
          <w:rFonts w:hint="eastAsia" w:ascii="仿宋" w:hAnsi="仿宋" w:eastAsia="仿宋"/>
          <w:b w:val="0"/>
          <w:color w:val="000000"/>
        </w:rPr>
        <w:t>财</w:t>
      </w:r>
      <w:r>
        <w:rPr>
          <w:rStyle w:val="27"/>
          <w:rFonts w:hint="eastAsia" w:ascii="仿宋" w:hAnsi="仿宋" w:eastAsia="仿宋"/>
          <w:b w:val="0"/>
          <w:bCs w:val="0"/>
        </w:rPr>
        <w:t>政拨款支出决算明细表</w:t>
      </w:r>
      <w:bookmarkEnd w:id="48"/>
      <w:bookmarkStart w:id="49" w:name="_Toc15396624"/>
    </w:p>
    <w:p>
      <w:pPr>
        <w:pStyle w:val="3"/>
        <w:rPr>
          <w:rFonts w:ascii="仿宋" w:hAnsi="仿宋" w:eastAsia="仿宋"/>
          <w:color w:val="000000"/>
        </w:rPr>
      </w:pPr>
      <w:r>
        <w:rPr>
          <w:rStyle w:val="27"/>
          <w:rFonts w:hint="eastAsia" w:ascii="仿宋" w:hAnsi="仿宋" w:eastAsia="仿宋"/>
          <w:b w:val="0"/>
          <w:bCs w:val="0"/>
        </w:rPr>
        <w:t>六、</w:t>
      </w:r>
      <w:r>
        <w:rPr>
          <w:rFonts w:hint="eastAsia" w:ascii="仿宋" w:hAnsi="仿宋" w:eastAsia="仿宋"/>
          <w:b w:val="0"/>
          <w:color w:val="000000"/>
        </w:rPr>
        <w:t>一</w:t>
      </w:r>
      <w:r>
        <w:rPr>
          <w:rStyle w:val="27"/>
          <w:rFonts w:hint="eastAsia" w:ascii="仿宋" w:hAnsi="仿宋" w:eastAsia="仿宋"/>
          <w:b w:val="0"/>
          <w:bCs w:val="0"/>
        </w:rPr>
        <w:t>般公共预算财政拨款支出决算表</w:t>
      </w:r>
      <w:bookmarkEnd w:id="49"/>
    </w:p>
    <w:p>
      <w:pPr>
        <w:pStyle w:val="3"/>
        <w:rPr>
          <w:rFonts w:ascii="仿宋" w:hAnsi="仿宋" w:eastAsia="仿宋"/>
          <w:color w:val="000000"/>
        </w:rPr>
      </w:pPr>
      <w:bookmarkStart w:id="50" w:name="_Toc15396625"/>
      <w:r>
        <w:rPr>
          <w:rStyle w:val="27"/>
          <w:rFonts w:hint="eastAsia" w:ascii="仿宋" w:hAnsi="仿宋" w:eastAsia="仿宋"/>
          <w:b w:val="0"/>
          <w:bCs w:val="0"/>
        </w:rPr>
        <w:t>七、</w:t>
      </w:r>
      <w:r>
        <w:rPr>
          <w:rFonts w:hint="eastAsia" w:ascii="仿宋" w:hAnsi="仿宋" w:eastAsia="仿宋"/>
          <w:b w:val="0"/>
          <w:color w:val="000000"/>
        </w:rPr>
        <w:t>一</w:t>
      </w:r>
      <w:r>
        <w:rPr>
          <w:rStyle w:val="27"/>
          <w:rFonts w:hint="eastAsia" w:ascii="仿宋" w:hAnsi="仿宋" w:eastAsia="仿宋"/>
          <w:b w:val="0"/>
          <w:bCs w:val="0"/>
        </w:rPr>
        <w:t>般公共预算财政拨款支出决算明细表</w:t>
      </w:r>
      <w:bookmarkEnd w:id="50"/>
    </w:p>
    <w:p>
      <w:pPr>
        <w:pStyle w:val="3"/>
        <w:rPr>
          <w:rFonts w:ascii="仿宋" w:hAnsi="仿宋" w:eastAsia="仿宋"/>
          <w:color w:val="000000"/>
        </w:rPr>
      </w:pPr>
      <w:bookmarkStart w:id="51" w:name="_Toc15396626"/>
      <w:r>
        <w:rPr>
          <w:rStyle w:val="27"/>
          <w:rFonts w:hint="eastAsia" w:ascii="仿宋" w:hAnsi="仿宋" w:eastAsia="仿宋"/>
          <w:b w:val="0"/>
          <w:bCs w:val="0"/>
        </w:rPr>
        <w:t>八、</w:t>
      </w:r>
      <w:r>
        <w:rPr>
          <w:rFonts w:hint="eastAsia" w:ascii="仿宋" w:hAnsi="仿宋" w:eastAsia="仿宋"/>
          <w:b w:val="0"/>
          <w:color w:val="000000"/>
        </w:rPr>
        <w:t>一</w:t>
      </w:r>
      <w:r>
        <w:rPr>
          <w:rStyle w:val="27"/>
          <w:rFonts w:hint="eastAsia" w:ascii="仿宋" w:hAnsi="仿宋" w:eastAsia="仿宋"/>
          <w:b w:val="0"/>
          <w:bCs w:val="0"/>
        </w:rPr>
        <w:t>般公共预算财政拨款基本支出决算表</w:t>
      </w:r>
      <w:bookmarkEnd w:id="51"/>
    </w:p>
    <w:p>
      <w:pPr>
        <w:pStyle w:val="3"/>
        <w:rPr>
          <w:rFonts w:ascii="仿宋" w:hAnsi="仿宋" w:eastAsia="仿宋"/>
          <w:color w:val="000000"/>
        </w:rPr>
      </w:pPr>
      <w:bookmarkStart w:id="52" w:name="_Toc15396627"/>
      <w:r>
        <w:rPr>
          <w:rStyle w:val="27"/>
          <w:rFonts w:hint="eastAsia" w:ascii="仿宋" w:hAnsi="仿宋" w:eastAsia="仿宋"/>
          <w:b w:val="0"/>
          <w:bCs w:val="0"/>
        </w:rPr>
        <w:t>九、</w:t>
      </w:r>
      <w:r>
        <w:rPr>
          <w:rFonts w:hint="eastAsia" w:ascii="仿宋" w:hAnsi="仿宋" w:eastAsia="仿宋"/>
          <w:b w:val="0"/>
          <w:color w:val="000000"/>
        </w:rPr>
        <w:t>一</w:t>
      </w:r>
      <w:r>
        <w:rPr>
          <w:rStyle w:val="27"/>
          <w:rFonts w:hint="eastAsia" w:ascii="仿宋" w:hAnsi="仿宋" w:eastAsia="仿宋"/>
          <w:b w:val="0"/>
          <w:bCs w:val="0"/>
        </w:rPr>
        <w:t>般公共预算财政拨款项目支出决算表</w:t>
      </w:r>
      <w:bookmarkEnd w:id="52"/>
    </w:p>
    <w:p>
      <w:pPr>
        <w:pStyle w:val="3"/>
        <w:rPr>
          <w:rFonts w:ascii="仿宋" w:hAnsi="仿宋" w:eastAsia="仿宋"/>
          <w:color w:val="000000"/>
        </w:rPr>
      </w:pPr>
      <w:bookmarkStart w:id="53" w:name="_Toc15396628"/>
      <w:r>
        <w:rPr>
          <w:rStyle w:val="27"/>
          <w:rFonts w:hint="eastAsia" w:ascii="仿宋" w:hAnsi="仿宋" w:eastAsia="仿宋"/>
          <w:b w:val="0"/>
          <w:bCs w:val="0"/>
        </w:rPr>
        <w:t>十、</w:t>
      </w:r>
      <w:r>
        <w:rPr>
          <w:rFonts w:hint="eastAsia" w:ascii="仿宋" w:hAnsi="仿宋" w:eastAsia="仿宋"/>
          <w:b w:val="0"/>
          <w:color w:val="000000"/>
        </w:rPr>
        <w:t>一</w:t>
      </w:r>
      <w:r>
        <w:rPr>
          <w:rStyle w:val="27"/>
          <w:rFonts w:hint="eastAsia" w:ascii="仿宋" w:hAnsi="仿宋" w:eastAsia="仿宋"/>
          <w:b w:val="0"/>
          <w:bCs w:val="0"/>
        </w:rPr>
        <w:t>般公共预算财政拨款“三公”经费支出决算表</w:t>
      </w:r>
      <w:bookmarkEnd w:id="53"/>
    </w:p>
    <w:p>
      <w:pPr>
        <w:pStyle w:val="3"/>
        <w:rPr>
          <w:rFonts w:ascii="仿宋" w:hAnsi="仿宋" w:eastAsia="仿宋"/>
          <w:color w:val="000000"/>
        </w:rPr>
      </w:pPr>
      <w:bookmarkStart w:id="54" w:name="_Toc15396629"/>
      <w:r>
        <w:rPr>
          <w:rStyle w:val="27"/>
          <w:rFonts w:hint="eastAsia" w:ascii="仿宋" w:hAnsi="仿宋" w:eastAsia="仿宋"/>
          <w:b w:val="0"/>
          <w:bCs w:val="0"/>
        </w:rPr>
        <w:t>十一、</w:t>
      </w:r>
      <w:r>
        <w:rPr>
          <w:rFonts w:hint="eastAsia" w:ascii="仿宋" w:hAnsi="仿宋" w:eastAsia="仿宋"/>
          <w:b w:val="0"/>
          <w:color w:val="000000"/>
        </w:rPr>
        <w:t>政</w:t>
      </w:r>
      <w:r>
        <w:rPr>
          <w:rStyle w:val="27"/>
          <w:rFonts w:hint="eastAsia" w:ascii="仿宋" w:hAnsi="仿宋" w:eastAsia="仿宋"/>
          <w:b w:val="0"/>
          <w:bCs w:val="0"/>
        </w:rPr>
        <w:t>府性基金预算财政拨款收入支出决算表</w:t>
      </w:r>
      <w:bookmarkEnd w:id="54"/>
    </w:p>
    <w:p>
      <w:pPr>
        <w:pStyle w:val="3"/>
        <w:rPr>
          <w:rFonts w:ascii="仿宋" w:hAnsi="仿宋" w:eastAsia="仿宋"/>
          <w:color w:val="000000"/>
        </w:rPr>
      </w:pPr>
      <w:bookmarkStart w:id="55" w:name="_Toc15396630"/>
      <w:r>
        <w:rPr>
          <w:rStyle w:val="27"/>
          <w:rFonts w:hint="eastAsia" w:ascii="仿宋" w:hAnsi="仿宋" w:eastAsia="仿宋"/>
          <w:b w:val="0"/>
          <w:bCs w:val="0"/>
        </w:rPr>
        <w:t>十二、</w:t>
      </w:r>
      <w:r>
        <w:rPr>
          <w:rFonts w:hint="eastAsia" w:ascii="仿宋" w:hAnsi="仿宋" w:eastAsia="仿宋"/>
          <w:b w:val="0"/>
          <w:color w:val="000000"/>
        </w:rPr>
        <w:t>政</w:t>
      </w:r>
      <w:r>
        <w:rPr>
          <w:rStyle w:val="27"/>
          <w:rFonts w:hint="eastAsia" w:ascii="仿宋" w:hAnsi="仿宋" w:eastAsia="仿宋"/>
          <w:b w:val="0"/>
          <w:bCs w:val="0"/>
        </w:rPr>
        <w:t>府性基金预算财政拨款“三公”经费支出决算表</w:t>
      </w:r>
      <w:bookmarkEnd w:id="55"/>
    </w:p>
    <w:p>
      <w:pPr>
        <w:pStyle w:val="3"/>
        <w:rPr>
          <w:rStyle w:val="27"/>
          <w:rFonts w:hint="eastAsia" w:ascii="仿宋" w:hAnsi="仿宋" w:eastAsia="仿宋"/>
          <w:b w:val="0"/>
          <w:bCs w:val="0"/>
        </w:rPr>
      </w:pPr>
      <w:bookmarkStart w:id="56" w:name="_Toc15396631"/>
      <w:r>
        <w:rPr>
          <w:rStyle w:val="27"/>
          <w:rFonts w:hint="eastAsia" w:ascii="仿宋" w:hAnsi="仿宋" w:eastAsia="仿宋"/>
          <w:b w:val="0"/>
          <w:bCs w:val="0"/>
        </w:rPr>
        <w:t>十三、</w:t>
      </w:r>
      <w:r>
        <w:rPr>
          <w:rFonts w:hint="eastAsia" w:ascii="仿宋" w:hAnsi="仿宋" w:eastAsia="仿宋"/>
          <w:b w:val="0"/>
          <w:color w:val="000000"/>
        </w:rPr>
        <w:t>国</w:t>
      </w:r>
      <w:r>
        <w:rPr>
          <w:rStyle w:val="27"/>
          <w:rFonts w:hint="eastAsia" w:ascii="仿宋" w:hAnsi="仿宋" w:eastAsia="仿宋"/>
          <w:b w:val="0"/>
          <w:bCs w:val="0"/>
        </w:rPr>
        <w:t>有资本经营预算支出决算表</w:t>
      </w:r>
      <w:bookmarkEnd w:id="56"/>
    </w:p>
    <w:p>
      <w:pPr>
        <w:rPr>
          <w:rStyle w:val="27"/>
          <w:rFonts w:eastAsia="仿宋" w:cs="Times New Roman"/>
          <w:b w:val="0"/>
          <w:bCs w:val="0"/>
        </w:rPr>
      </w:pPr>
      <w:r>
        <w:rPr>
          <w:rStyle w:val="27"/>
          <w:rFonts w:hint="eastAsia" w:ascii="仿宋" w:hAnsi="仿宋" w:eastAsia="仿宋"/>
          <w:b w:val="0"/>
          <w:bCs w:val="0"/>
          <w:lang w:eastAsia="zh-CN"/>
        </w:rPr>
        <w:t>十四、国有资本经营预算财政拨款支出决算表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9"/>
          <w:jc w:val="center"/>
        </w:pPr>
        <w:r>
          <w:fldChar w:fldCharType="begin"/>
        </w:r>
        <w:r>
          <w:instrText xml:space="preserve">PAGE   \* MERGEFORMAT</w:instrText>
        </w:r>
        <w:r>
          <w:fldChar w:fldCharType="separate"/>
        </w:r>
        <w:r>
          <w:rPr>
            <w:lang w:val="zh-CN"/>
          </w:rPr>
          <w:t>21</w:t>
        </w:r>
        <w:r>
          <w:rPr>
            <w:lang w:val="zh-CN"/>
          </w:rP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7B6FB6"/>
    <w:multiLevelType w:val="singleLevel"/>
    <w:tmpl w:val="CD7B6FB6"/>
    <w:lvl w:ilvl="0" w:tentative="0">
      <w:start w:val="2"/>
      <w:numFmt w:val="decimal"/>
      <w:suff w:val="nothing"/>
      <w:lvlText w:val="（%1）"/>
      <w:lvlJc w:val="left"/>
      <w:pPr>
        <w:ind w:left="480" w:leftChars="0" w:firstLine="0" w:firstLineChars="0"/>
      </w:p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18457DE2"/>
    <w:multiLevelType w:val="singleLevel"/>
    <w:tmpl w:val="18457DE2"/>
    <w:lvl w:ilvl="0" w:tentative="0">
      <w:start w:val="1"/>
      <w:numFmt w:val="chineseCounting"/>
      <w:suff w:val="nothing"/>
      <w:lvlText w:val="（%1）"/>
      <w:lvlJc w:val="left"/>
      <w:rPr>
        <w:rFonts w:hint="eastAsia"/>
      </w:rPr>
    </w:lvl>
  </w:abstractNum>
  <w:abstractNum w:abstractNumId="4">
    <w:nsid w:val="21DF93FB"/>
    <w:multiLevelType w:val="singleLevel"/>
    <w:tmpl w:val="21DF93FB"/>
    <w:lvl w:ilvl="0" w:tentative="0">
      <w:start w:val="3"/>
      <w:numFmt w:val="chineseCounting"/>
      <w:suff w:val="nothing"/>
      <w:lvlText w:val="%1、"/>
      <w:lvlJc w:val="left"/>
      <w:rPr>
        <w:rFonts w:hint="eastAsia"/>
      </w:rPr>
    </w:lvl>
  </w:abstractNum>
  <w:abstractNum w:abstractNumId="5">
    <w:nsid w:val="4A7B1894"/>
    <w:multiLevelType w:val="singleLevel"/>
    <w:tmpl w:val="4A7B1894"/>
    <w:lvl w:ilvl="0" w:tentative="0">
      <w:start w:val="3"/>
      <w:numFmt w:val="decimal"/>
      <w:suff w:val="nothing"/>
      <w:lvlText w:val="（%1）"/>
      <w:lvlJc w:val="left"/>
    </w:lvl>
  </w:abstractNum>
  <w:abstractNum w:abstractNumId="6">
    <w:nsid w:val="55661BAC"/>
    <w:multiLevelType w:val="singleLevel"/>
    <w:tmpl w:val="55661BAC"/>
    <w:lvl w:ilvl="0" w:tentative="0">
      <w:start w:val="2"/>
      <w:numFmt w:val="chineseCounting"/>
      <w:suff w:val="nothing"/>
      <w:lvlText w:val="（%1）"/>
      <w:lvlJc w:val="left"/>
      <w:rPr>
        <w:rFonts w:hint="eastAsia"/>
      </w:rPr>
    </w:lvl>
  </w:abstractNum>
  <w:num w:numId="1">
    <w:abstractNumId w:val="2"/>
  </w:num>
  <w:num w:numId="2">
    <w:abstractNumId w:val="0"/>
  </w:num>
  <w:num w:numId="3">
    <w:abstractNumId w:val="5"/>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M1YmRlMDc2ZWIyNTM0ZjY3OGM4MGQ0NTU2OTZmMmEifQ=="/>
  </w:docVars>
  <w:rsids>
    <w:rsidRoot w:val="00F1361C"/>
    <w:rsid w:val="000222C6"/>
    <w:rsid w:val="0002549F"/>
    <w:rsid w:val="00057C4F"/>
    <w:rsid w:val="0006487A"/>
    <w:rsid w:val="00065F8F"/>
    <w:rsid w:val="000768F2"/>
    <w:rsid w:val="0009184B"/>
    <w:rsid w:val="0009593C"/>
    <w:rsid w:val="000B047F"/>
    <w:rsid w:val="000B5923"/>
    <w:rsid w:val="000B5A48"/>
    <w:rsid w:val="000B6FF3"/>
    <w:rsid w:val="000C151A"/>
    <w:rsid w:val="000C3467"/>
    <w:rsid w:val="000C3CA6"/>
    <w:rsid w:val="000D1267"/>
    <w:rsid w:val="000D1D50"/>
    <w:rsid w:val="000D5782"/>
    <w:rsid w:val="000E6613"/>
    <w:rsid w:val="000E7119"/>
    <w:rsid w:val="000F1750"/>
    <w:rsid w:val="00114E9B"/>
    <w:rsid w:val="00142E9D"/>
    <w:rsid w:val="0014729F"/>
    <w:rsid w:val="00147456"/>
    <w:rsid w:val="00156A34"/>
    <w:rsid w:val="00157BAB"/>
    <w:rsid w:val="001654D1"/>
    <w:rsid w:val="00171F6A"/>
    <w:rsid w:val="0018106D"/>
    <w:rsid w:val="001877A7"/>
    <w:rsid w:val="00191536"/>
    <w:rsid w:val="00196687"/>
    <w:rsid w:val="001C0962"/>
    <w:rsid w:val="001D42EA"/>
    <w:rsid w:val="001D7531"/>
    <w:rsid w:val="001E737D"/>
    <w:rsid w:val="001F0592"/>
    <w:rsid w:val="001F7506"/>
    <w:rsid w:val="002006CD"/>
    <w:rsid w:val="00202B36"/>
    <w:rsid w:val="00204B7A"/>
    <w:rsid w:val="0021101A"/>
    <w:rsid w:val="00220536"/>
    <w:rsid w:val="00235629"/>
    <w:rsid w:val="00260C38"/>
    <w:rsid w:val="002616C0"/>
    <w:rsid w:val="002662AA"/>
    <w:rsid w:val="00280496"/>
    <w:rsid w:val="00295495"/>
    <w:rsid w:val="002B2613"/>
    <w:rsid w:val="002F1818"/>
    <w:rsid w:val="002F567B"/>
    <w:rsid w:val="00302792"/>
    <w:rsid w:val="003216A9"/>
    <w:rsid w:val="00342743"/>
    <w:rsid w:val="0034472D"/>
    <w:rsid w:val="00345297"/>
    <w:rsid w:val="0037013F"/>
    <w:rsid w:val="00380C92"/>
    <w:rsid w:val="003A484F"/>
    <w:rsid w:val="003B0BE0"/>
    <w:rsid w:val="003B0C1B"/>
    <w:rsid w:val="003B688C"/>
    <w:rsid w:val="003C0291"/>
    <w:rsid w:val="003C39AE"/>
    <w:rsid w:val="003C7B60"/>
    <w:rsid w:val="003D1FB2"/>
    <w:rsid w:val="003D66DA"/>
    <w:rsid w:val="003E1310"/>
    <w:rsid w:val="003E6F55"/>
    <w:rsid w:val="00406254"/>
    <w:rsid w:val="004223DE"/>
    <w:rsid w:val="00434489"/>
    <w:rsid w:val="00437085"/>
    <w:rsid w:val="00443880"/>
    <w:rsid w:val="004464F4"/>
    <w:rsid w:val="00471401"/>
    <w:rsid w:val="00473F31"/>
    <w:rsid w:val="00480891"/>
    <w:rsid w:val="004810F6"/>
    <w:rsid w:val="0048263A"/>
    <w:rsid w:val="00487E5D"/>
    <w:rsid w:val="004A711F"/>
    <w:rsid w:val="004B199D"/>
    <w:rsid w:val="004B3882"/>
    <w:rsid w:val="004B4690"/>
    <w:rsid w:val="004D2D1C"/>
    <w:rsid w:val="004E0A2D"/>
    <w:rsid w:val="004E206B"/>
    <w:rsid w:val="004E6DF7"/>
    <w:rsid w:val="004F0FBD"/>
    <w:rsid w:val="00505A47"/>
    <w:rsid w:val="00512FDA"/>
    <w:rsid w:val="00520DA0"/>
    <w:rsid w:val="00537DE5"/>
    <w:rsid w:val="005664BB"/>
    <w:rsid w:val="0057481D"/>
    <w:rsid w:val="0058486E"/>
    <w:rsid w:val="005D1C8B"/>
    <w:rsid w:val="005D5CED"/>
    <w:rsid w:val="005F1A4C"/>
    <w:rsid w:val="00605688"/>
    <w:rsid w:val="006070AF"/>
    <w:rsid w:val="00607E6C"/>
    <w:rsid w:val="006101B1"/>
    <w:rsid w:val="00614E44"/>
    <w:rsid w:val="00622830"/>
    <w:rsid w:val="00630AEF"/>
    <w:rsid w:val="006325F8"/>
    <w:rsid w:val="00634C9A"/>
    <w:rsid w:val="006440E4"/>
    <w:rsid w:val="0066343B"/>
    <w:rsid w:val="00664777"/>
    <w:rsid w:val="006748A4"/>
    <w:rsid w:val="00683E73"/>
    <w:rsid w:val="006A3141"/>
    <w:rsid w:val="006A5E34"/>
    <w:rsid w:val="006B2422"/>
    <w:rsid w:val="006B2B9A"/>
    <w:rsid w:val="006C1937"/>
    <w:rsid w:val="006D22CF"/>
    <w:rsid w:val="006D3160"/>
    <w:rsid w:val="006D78C4"/>
    <w:rsid w:val="006F020C"/>
    <w:rsid w:val="0070712B"/>
    <w:rsid w:val="007127B7"/>
    <w:rsid w:val="007416B6"/>
    <w:rsid w:val="00746F48"/>
    <w:rsid w:val="0075404D"/>
    <w:rsid w:val="0076182A"/>
    <w:rsid w:val="00767B7E"/>
    <w:rsid w:val="007770C3"/>
    <w:rsid w:val="00784D24"/>
    <w:rsid w:val="00785FBA"/>
    <w:rsid w:val="00786E4A"/>
    <w:rsid w:val="007875EB"/>
    <w:rsid w:val="0079426B"/>
    <w:rsid w:val="007D0BE3"/>
    <w:rsid w:val="007D312A"/>
    <w:rsid w:val="007D3F19"/>
    <w:rsid w:val="007E23B0"/>
    <w:rsid w:val="007F1991"/>
    <w:rsid w:val="007F2C2F"/>
    <w:rsid w:val="007F55FC"/>
    <w:rsid w:val="007F5665"/>
    <w:rsid w:val="00800112"/>
    <w:rsid w:val="00816FBA"/>
    <w:rsid w:val="00824FCD"/>
    <w:rsid w:val="008253BB"/>
    <w:rsid w:val="0083706E"/>
    <w:rsid w:val="008423A5"/>
    <w:rsid w:val="00850625"/>
    <w:rsid w:val="00853718"/>
    <w:rsid w:val="00855221"/>
    <w:rsid w:val="00860645"/>
    <w:rsid w:val="00871F71"/>
    <w:rsid w:val="00885AF4"/>
    <w:rsid w:val="008939CD"/>
    <w:rsid w:val="008A20DF"/>
    <w:rsid w:val="008A43C4"/>
    <w:rsid w:val="008B22E6"/>
    <w:rsid w:val="008B768C"/>
    <w:rsid w:val="008C4DB1"/>
    <w:rsid w:val="008C4EAF"/>
    <w:rsid w:val="008C5176"/>
    <w:rsid w:val="008C7FD0"/>
    <w:rsid w:val="008E1DE7"/>
    <w:rsid w:val="008E707C"/>
    <w:rsid w:val="00900B08"/>
    <w:rsid w:val="00902155"/>
    <w:rsid w:val="00902FA3"/>
    <w:rsid w:val="00907B40"/>
    <w:rsid w:val="00923564"/>
    <w:rsid w:val="0092392E"/>
    <w:rsid w:val="009310B2"/>
    <w:rsid w:val="009315F9"/>
    <w:rsid w:val="00946945"/>
    <w:rsid w:val="00951248"/>
    <w:rsid w:val="0095152F"/>
    <w:rsid w:val="00954C49"/>
    <w:rsid w:val="0097099F"/>
    <w:rsid w:val="00971997"/>
    <w:rsid w:val="00971FFC"/>
    <w:rsid w:val="00974114"/>
    <w:rsid w:val="0098660A"/>
    <w:rsid w:val="0099206B"/>
    <w:rsid w:val="009931C3"/>
    <w:rsid w:val="009B2C43"/>
    <w:rsid w:val="009B4EAE"/>
    <w:rsid w:val="009B7573"/>
    <w:rsid w:val="009C22F4"/>
    <w:rsid w:val="009C2E98"/>
    <w:rsid w:val="009D3447"/>
    <w:rsid w:val="009D4711"/>
    <w:rsid w:val="009F1185"/>
    <w:rsid w:val="009F18CD"/>
    <w:rsid w:val="009F2A13"/>
    <w:rsid w:val="00A04EB0"/>
    <w:rsid w:val="00A13CC1"/>
    <w:rsid w:val="00A16847"/>
    <w:rsid w:val="00A237D8"/>
    <w:rsid w:val="00A268C4"/>
    <w:rsid w:val="00A307CD"/>
    <w:rsid w:val="00A40A00"/>
    <w:rsid w:val="00A4142F"/>
    <w:rsid w:val="00A56DF2"/>
    <w:rsid w:val="00A67AB5"/>
    <w:rsid w:val="00A91760"/>
    <w:rsid w:val="00A93B00"/>
    <w:rsid w:val="00A93C21"/>
    <w:rsid w:val="00AC3C6A"/>
    <w:rsid w:val="00AD5620"/>
    <w:rsid w:val="00AD59B6"/>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77EA6"/>
    <w:rsid w:val="00B81598"/>
    <w:rsid w:val="00B841F1"/>
    <w:rsid w:val="00B944D6"/>
    <w:rsid w:val="00BB4DF0"/>
    <w:rsid w:val="00BC146E"/>
    <w:rsid w:val="00BC289F"/>
    <w:rsid w:val="00BC5361"/>
    <w:rsid w:val="00BC5460"/>
    <w:rsid w:val="00BC6B50"/>
    <w:rsid w:val="00BD0E25"/>
    <w:rsid w:val="00BF5BD6"/>
    <w:rsid w:val="00C03E31"/>
    <w:rsid w:val="00C33E72"/>
    <w:rsid w:val="00C354B2"/>
    <w:rsid w:val="00C35554"/>
    <w:rsid w:val="00C42709"/>
    <w:rsid w:val="00C533CC"/>
    <w:rsid w:val="00C56AC7"/>
    <w:rsid w:val="00C5751C"/>
    <w:rsid w:val="00C61BFC"/>
    <w:rsid w:val="00C62B85"/>
    <w:rsid w:val="00C65438"/>
    <w:rsid w:val="00C804B1"/>
    <w:rsid w:val="00C91CBB"/>
    <w:rsid w:val="00CC09B6"/>
    <w:rsid w:val="00CC666F"/>
    <w:rsid w:val="00CD1E3F"/>
    <w:rsid w:val="00CE44F6"/>
    <w:rsid w:val="00CE49DA"/>
    <w:rsid w:val="00CE7B61"/>
    <w:rsid w:val="00D00095"/>
    <w:rsid w:val="00D20620"/>
    <w:rsid w:val="00D26091"/>
    <w:rsid w:val="00D34E7C"/>
    <w:rsid w:val="00D35489"/>
    <w:rsid w:val="00D36103"/>
    <w:rsid w:val="00D37258"/>
    <w:rsid w:val="00D51276"/>
    <w:rsid w:val="00D7035F"/>
    <w:rsid w:val="00D92582"/>
    <w:rsid w:val="00DA65AC"/>
    <w:rsid w:val="00DB1913"/>
    <w:rsid w:val="00DC410D"/>
    <w:rsid w:val="00DC68CA"/>
    <w:rsid w:val="00DC7CBA"/>
    <w:rsid w:val="00DD73B7"/>
    <w:rsid w:val="00DF28BC"/>
    <w:rsid w:val="00DF34B9"/>
    <w:rsid w:val="00E01053"/>
    <w:rsid w:val="00E068ED"/>
    <w:rsid w:val="00E07ACF"/>
    <w:rsid w:val="00E16B2D"/>
    <w:rsid w:val="00E331A1"/>
    <w:rsid w:val="00E33202"/>
    <w:rsid w:val="00E336A9"/>
    <w:rsid w:val="00E50624"/>
    <w:rsid w:val="00E568DF"/>
    <w:rsid w:val="00E60E41"/>
    <w:rsid w:val="00E64269"/>
    <w:rsid w:val="00E82267"/>
    <w:rsid w:val="00EA010F"/>
    <w:rsid w:val="00EC7754"/>
    <w:rsid w:val="00ED1B63"/>
    <w:rsid w:val="00ED3C1F"/>
    <w:rsid w:val="00ED4085"/>
    <w:rsid w:val="00ED420E"/>
    <w:rsid w:val="00EE2F57"/>
    <w:rsid w:val="00EF4C34"/>
    <w:rsid w:val="00EF77C6"/>
    <w:rsid w:val="00F05438"/>
    <w:rsid w:val="00F1361C"/>
    <w:rsid w:val="00F160C7"/>
    <w:rsid w:val="00F36D8F"/>
    <w:rsid w:val="00F417B1"/>
    <w:rsid w:val="00F602DF"/>
    <w:rsid w:val="00F81FD9"/>
    <w:rsid w:val="00F841AA"/>
    <w:rsid w:val="00FA23E8"/>
    <w:rsid w:val="00FA72AD"/>
    <w:rsid w:val="00FD3CC1"/>
    <w:rsid w:val="00FF1E02"/>
    <w:rsid w:val="00FF30B4"/>
    <w:rsid w:val="01404B2F"/>
    <w:rsid w:val="01523498"/>
    <w:rsid w:val="01923978"/>
    <w:rsid w:val="019F3AB5"/>
    <w:rsid w:val="01D3522B"/>
    <w:rsid w:val="01E55A5F"/>
    <w:rsid w:val="021C2B27"/>
    <w:rsid w:val="022E7982"/>
    <w:rsid w:val="02655A6F"/>
    <w:rsid w:val="02847A35"/>
    <w:rsid w:val="02A75482"/>
    <w:rsid w:val="02B60977"/>
    <w:rsid w:val="02EB1004"/>
    <w:rsid w:val="02F94317"/>
    <w:rsid w:val="0365529F"/>
    <w:rsid w:val="03AD6241"/>
    <w:rsid w:val="03B206B1"/>
    <w:rsid w:val="03C61BEC"/>
    <w:rsid w:val="03F430B8"/>
    <w:rsid w:val="04232A16"/>
    <w:rsid w:val="046E4AD6"/>
    <w:rsid w:val="047E30E0"/>
    <w:rsid w:val="04CA28BA"/>
    <w:rsid w:val="04F73C27"/>
    <w:rsid w:val="056646D5"/>
    <w:rsid w:val="057D1182"/>
    <w:rsid w:val="06F133DA"/>
    <w:rsid w:val="073224CB"/>
    <w:rsid w:val="076F250C"/>
    <w:rsid w:val="07CB7E67"/>
    <w:rsid w:val="080D4656"/>
    <w:rsid w:val="082615EE"/>
    <w:rsid w:val="085B07C9"/>
    <w:rsid w:val="08AF103A"/>
    <w:rsid w:val="08DA29F2"/>
    <w:rsid w:val="08E0059B"/>
    <w:rsid w:val="091E1E03"/>
    <w:rsid w:val="093C2178"/>
    <w:rsid w:val="094A2F63"/>
    <w:rsid w:val="098221A4"/>
    <w:rsid w:val="098C5D53"/>
    <w:rsid w:val="099B5C84"/>
    <w:rsid w:val="09A10B38"/>
    <w:rsid w:val="09CB4F8C"/>
    <w:rsid w:val="09CD45E5"/>
    <w:rsid w:val="09F54F39"/>
    <w:rsid w:val="0A6B38BA"/>
    <w:rsid w:val="0A7D025F"/>
    <w:rsid w:val="0AB21EEF"/>
    <w:rsid w:val="0B48217C"/>
    <w:rsid w:val="0BE556FA"/>
    <w:rsid w:val="0C7B02A0"/>
    <w:rsid w:val="0C971C28"/>
    <w:rsid w:val="0CC0096F"/>
    <w:rsid w:val="0CFA4B8C"/>
    <w:rsid w:val="0D3A2244"/>
    <w:rsid w:val="0D4516F6"/>
    <w:rsid w:val="0D5F37BF"/>
    <w:rsid w:val="0DEE7438"/>
    <w:rsid w:val="0E176AF5"/>
    <w:rsid w:val="0E272FAB"/>
    <w:rsid w:val="0E6C2C42"/>
    <w:rsid w:val="0EAF5904"/>
    <w:rsid w:val="0ED33B73"/>
    <w:rsid w:val="0F1707A1"/>
    <w:rsid w:val="0F405C95"/>
    <w:rsid w:val="0F79792F"/>
    <w:rsid w:val="0FCC21AA"/>
    <w:rsid w:val="108020E1"/>
    <w:rsid w:val="109E0557"/>
    <w:rsid w:val="10C055FF"/>
    <w:rsid w:val="11AF1548"/>
    <w:rsid w:val="12BE164E"/>
    <w:rsid w:val="13255DFA"/>
    <w:rsid w:val="1435429F"/>
    <w:rsid w:val="146D6DBC"/>
    <w:rsid w:val="14970367"/>
    <w:rsid w:val="14AF7EE9"/>
    <w:rsid w:val="14F14870"/>
    <w:rsid w:val="150D2C6F"/>
    <w:rsid w:val="157647A2"/>
    <w:rsid w:val="15830005"/>
    <w:rsid w:val="15A01D62"/>
    <w:rsid w:val="15E45EB8"/>
    <w:rsid w:val="161B4F36"/>
    <w:rsid w:val="1659401B"/>
    <w:rsid w:val="166E161C"/>
    <w:rsid w:val="16B83FE6"/>
    <w:rsid w:val="16BB723D"/>
    <w:rsid w:val="174F605A"/>
    <w:rsid w:val="18033EFF"/>
    <w:rsid w:val="18983B04"/>
    <w:rsid w:val="19165242"/>
    <w:rsid w:val="192A7CEB"/>
    <w:rsid w:val="1934261A"/>
    <w:rsid w:val="198470D4"/>
    <w:rsid w:val="1A0D21B2"/>
    <w:rsid w:val="1A1F58E0"/>
    <w:rsid w:val="1A462603"/>
    <w:rsid w:val="1AAA77DE"/>
    <w:rsid w:val="1AAE1224"/>
    <w:rsid w:val="1B04765A"/>
    <w:rsid w:val="1B154EA9"/>
    <w:rsid w:val="1B2A0C57"/>
    <w:rsid w:val="1B3377C7"/>
    <w:rsid w:val="1BB03FF5"/>
    <w:rsid w:val="1BBD2FC3"/>
    <w:rsid w:val="1BCF1671"/>
    <w:rsid w:val="1C157ED9"/>
    <w:rsid w:val="1C7465AF"/>
    <w:rsid w:val="1CC500CC"/>
    <w:rsid w:val="1CFE276C"/>
    <w:rsid w:val="1D3D19A9"/>
    <w:rsid w:val="1D552434"/>
    <w:rsid w:val="1D8E4AD6"/>
    <w:rsid w:val="1E677847"/>
    <w:rsid w:val="1F965934"/>
    <w:rsid w:val="1FCA5E05"/>
    <w:rsid w:val="201F66B8"/>
    <w:rsid w:val="208E53B6"/>
    <w:rsid w:val="20C8663E"/>
    <w:rsid w:val="219827D6"/>
    <w:rsid w:val="21A468E8"/>
    <w:rsid w:val="21AE096B"/>
    <w:rsid w:val="22155826"/>
    <w:rsid w:val="223C6B42"/>
    <w:rsid w:val="228902EF"/>
    <w:rsid w:val="22A650E9"/>
    <w:rsid w:val="23D9784F"/>
    <w:rsid w:val="240371BF"/>
    <w:rsid w:val="24140F24"/>
    <w:rsid w:val="24143654"/>
    <w:rsid w:val="24930718"/>
    <w:rsid w:val="25760B3D"/>
    <w:rsid w:val="261218E7"/>
    <w:rsid w:val="27650ADE"/>
    <w:rsid w:val="27677CFA"/>
    <w:rsid w:val="27937D6A"/>
    <w:rsid w:val="27DF490E"/>
    <w:rsid w:val="27F2619F"/>
    <w:rsid w:val="27FD5069"/>
    <w:rsid w:val="283304DD"/>
    <w:rsid w:val="286458FC"/>
    <w:rsid w:val="28A24B7A"/>
    <w:rsid w:val="294120DB"/>
    <w:rsid w:val="298C089F"/>
    <w:rsid w:val="299E06D5"/>
    <w:rsid w:val="299E5C48"/>
    <w:rsid w:val="29FD04D3"/>
    <w:rsid w:val="2A1451F8"/>
    <w:rsid w:val="2A8C256A"/>
    <w:rsid w:val="2AA22A3D"/>
    <w:rsid w:val="2ADE19C1"/>
    <w:rsid w:val="2B3E3B45"/>
    <w:rsid w:val="2B5823A0"/>
    <w:rsid w:val="2BC91365"/>
    <w:rsid w:val="2C3C5ED4"/>
    <w:rsid w:val="2C426068"/>
    <w:rsid w:val="2C456D99"/>
    <w:rsid w:val="2C5354CC"/>
    <w:rsid w:val="2CED2723"/>
    <w:rsid w:val="2CEE2DD0"/>
    <w:rsid w:val="2D0C754F"/>
    <w:rsid w:val="2D5E2C19"/>
    <w:rsid w:val="2DB051B7"/>
    <w:rsid w:val="2DCA2909"/>
    <w:rsid w:val="2E74389B"/>
    <w:rsid w:val="2EC877F5"/>
    <w:rsid w:val="2F2705EC"/>
    <w:rsid w:val="2F506130"/>
    <w:rsid w:val="2F6646E3"/>
    <w:rsid w:val="30F9596C"/>
    <w:rsid w:val="31040A9D"/>
    <w:rsid w:val="31155852"/>
    <w:rsid w:val="314D560F"/>
    <w:rsid w:val="31531762"/>
    <w:rsid w:val="319F7F4E"/>
    <w:rsid w:val="31A903CF"/>
    <w:rsid w:val="31F5010D"/>
    <w:rsid w:val="321C64E3"/>
    <w:rsid w:val="32621CB4"/>
    <w:rsid w:val="33076CF1"/>
    <w:rsid w:val="33434816"/>
    <w:rsid w:val="33BB68B9"/>
    <w:rsid w:val="33BC0111"/>
    <w:rsid w:val="33C53F7A"/>
    <w:rsid w:val="33C555C3"/>
    <w:rsid w:val="33E30B50"/>
    <w:rsid w:val="33EC77BC"/>
    <w:rsid w:val="34775B32"/>
    <w:rsid w:val="348F3A31"/>
    <w:rsid w:val="35486DBF"/>
    <w:rsid w:val="372F2CFA"/>
    <w:rsid w:val="37765B9B"/>
    <w:rsid w:val="37791FCD"/>
    <w:rsid w:val="378109EF"/>
    <w:rsid w:val="37820F89"/>
    <w:rsid w:val="37885C25"/>
    <w:rsid w:val="378B0B6D"/>
    <w:rsid w:val="37E96321"/>
    <w:rsid w:val="380124CB"/>
    <w:rsid w:val="385F10A7"/>
    <w:rsid w:val="39091BC7"/>
    <w:rsid w:val="398479E6"/>
    <w:rsid w:val="39A52082"/>
    <w:rsid w:val="39BE0DD5"/>
    <w:rsid w:val="39C726B6"/>
    <w:rsid w:val="39D77CB2"/>
    <w:rsid w:val="3A09345E"/>
    <w:rsid w:val="3A2278EB"/>
    <w:rsid w:val="3A3D5337"/>
    <w:rsid w:val="3A3D5E55"/>
    <w:rsid w:val="3A552DF9"/>
    <w:rsid w:val="3A8456AF"/>
    <w:rsid w:val="3A860EF3"/>
    <w:rsid w:val="3ACC57AF"/>
    <w:rsid w:val="3B2B4F9A"/>
    <w:rsid w:val="3B3B2682"/>
    <w:rsid w:val="3C4D3C46"/>
    <w:rsid w:val="3C5555ED"/>
    <w:rsid w:val="3CB515E2"/>
    <w:rsid w:val="3CC700AB"/>
    <w:rsid w:val="3CE94C63"/>
    <w:rsid w:val="3CEC71EF"/>
    <w:rsid w:val="3CFB2ED0"/>
    <w:rsid w:val="3D286C3A"/>
    <w:rsid w:val="3D6F47CE"/>
    <w:rsid w:val="3D981B2C"/>
    <w:rsid w:val="3E19707C"/>
    <w:rsid w:val="3E310CD3"/>
    <w:rsid w:val="3EA910EE"/>
    <w:rsid w:val="3F630127"/>
    <w:rsid w:val="3F771CBB"/>
    <w:rsid w:val="3FC409A7"/>
    <w:rsid w:val="3FE63846"/>
    <w:rsid w:val="40314300"/>
    <w:rsid w:val="407E0D08"/>
    <w:rsid w:val="408E25E2"/>
    <w:rsid w:val="40C5077F"/>
    <w:rsid w:val="40D87292"/>
    <w:rsid w:val="41024391"/>
    <w:rsid w:val="412140F8"/>
    <w:rsid w:val="41291B6D"/>
    <w:rsid w:val="41385AD4"/>
    <w:rsid w:val="41560D3A"/>
    <w:rsid w:val="4168634F"/>
    <w:rsid w:val="418008CB"/>
    <w:rsid w:val="41B91D91"/>
    <w:rsid w:val="41D44C03"/>
    <w:rsid w:val="429005B0"/>
    <w:rsid w:val="42A453C9"/>
    <w:rsid w:val="43096751"/>
    <w:rsid w:val="431047F8"/>
    <w:rsid w:val="4319442A"/>
    <w:rsid w:val="431C2140"/>
    <w:rsid w:val="432637F3"/>
    <w:rsid w:val="43693664"/>
    <w:rsid w:val="44477242"/>
    <w:rsid w:val="447949C5"/>
    <w:rsid w:val="44CA728F"/>
    <w:rsid w:val="45D00632"/>
    <w:rsid w:val="462C09E7"/>
    <w:rsid w:val="470B2BF0"/>
    <w:rsid w:val="47415B42"/>
    <w:rsid w:val="47673594"/>
    <w:rsid w:val="48086600"/>
    <w:rsid w:val="485917DC"/>
    <w:rsid w:val="485F5AC7"/>
    <w:rsid w:val="48B05ECC"/>
    <w:rsid w:val="48B51D0E"/>
    <w:rsid w:val="49045A7E"/>
    <w:rsid w:val="49134D2F"/>
    <w:rsid w:val="498F7B47"/>
    <w:rsid w:val="49CF65EE"/>
    <w:rsid w:val="4A081FF5"/>
    <w:rsid w:val="4A7025E4"/>
    <w:rsid w:val="4A817221"/>
    <w:rsid w:val="4AA60572"/>
    <w:rsid w:val="4B0A4D8F"/>
    <w:rsid w:val="4B2E0698"/>
    <w:rsid w:val="4B6D5157"/>
    <w:rsid w:val="4B6F5DDF"/>
    <w:rsid w:val="4B911E5E"/>
    <w:rsid w:val="4BA82141"/>
    <w:rsid w:val="4BDD4D9A"/>
    <w:rsid w:val="4C1115D4"/>
    <w:rsid w:val="4C8E00F3"/>
    <w:rsid w:val="4CBD78B0"/>
    <w:rsid w:val="4CC0649C"/>
    <w:rsid w:val="4D3D4689"/>
    <w:rsid w:val="4D4626E1"/>
    <w:rsid w:val="4D566EB3"/>
    <w:rsid w:val="4D6349E9"/>
    <w:rsid w:val="4D810DBE"/>
    <w:rsid w:val="4DF120D2"/>
    <w:rsid w:val="4E3D56BC"/>
    <w:rsid w:val="4E6D5F02"/>
    <w:rsid w:val="4F015DEA"/>
    <w:rsid w:val="4F7435ED"/>
    <w:rsid w:val="4F914F9C"/>
    <w:rsid w:val="4FBD308E"/>
    <w:rsid w:val="4FCA4786"/>
    <w:rsid w:val="500479F5"/>
    <w:rsid w:val="502C4A42"/>
    <w:rsid w:val="504065C9"/>
    <w:rsid w:val="504C7739"/>
    <w:rsid w:val="50C17523"/>
    <w:rsid w:val="50F021FD"/>
    <w:rsid w:val="50FB3B81"/>
    <w:rsid w:val="517D1E43"/>
    <w:rsid w:val="51A32CF3"/>
    <w:rsid w:val="51B45A49"/>
    <w:rsid w:val="51EF63D9"/>
    <w:rsid w:val="52D111CE"/>
    <w:rsid w:val="52DF36B1"/>
    <w:rsid w:val="52F631B9"/>
    <w:rsid w:val="537932AB"/>
    <w:rsid w:val="53B454A7"/>
    <w:rsid w:val="54020964"/>
    <w:rsid w:val="5482777A"/>
    <w:rsid w:val="54BE4AF7"/>
    <w:rsid w:val="54CB4559"/>
    <w:rsid w:val="54E970F8"/>
    <w:rsid w:val="550940CB"/>
    <w:rsid w:val="55A87E93"/>
    <w:rsid w:val="55C75671"/>
    <w:rsid w:val="55D63D47"/>
    <w:rsid w:val="55E62F35"/>
    <w:rsid w:val="56105DDB"/>
    <w:rsid w:val="56134AC9"/>
    <w:rsid w:val="56E93B36"/>
    <w:rsid w:val="574C3084"/>
    <w:rsid w:val="57576301"/>
    <w:rsid w:val="576F0C69"/>
    <w:rsid w:val="57760D25"/>
    <w:rsid w:val="57B96AA8"/>
    <w:rsid w:val="57E87CA5"/>
    <w:rsid w:val="58230B4C"/>
    <w:rsid w:val="59627ED2"/>
    <w:rsid w:val="59A156EB"/>
    <w:rsid w:val="59B93671"/>
    <w:rsid w:val="5A5035F6"/>
    <w:rsid w:val="5A8245A0"/>
    <w:rsid w:val="5A852C69"/>
    <w:rsid w:val="5A8B350B"/>
    <w:rsid w:val="5B033DD0"/>
    <w:rsid w:val="5B5227E7"/>
    <w:rsid w:val="5B746016"/>
    <w:rsid w:val="5BB5755B"/>
    <w:rsid w:val="5BD12E6E"/>
    <w:rsid w:val="5C523221"/>
    <w:rsid w:val="5C7D083F"/>
    <w:rsid w:val="5CA0403C"/>
    <w:rsid w:val="5CE64BC9"/>
    <w:rsid w:val="5D1763F2"/>
    <w:rsid w:val="5D340CDF"/>
    <w:rsid w:val="5D385BC6"/>
    <w:rsid w:val="5DE649F7"/>
    <w:rsid w:val="5E987801"/>
    <w:rsid w:val="5F015725"/>
    <w:rsid w:val="5F26767B"/>
    <w:rsid w:val="5F666F44"/>
    <w:rsid w:val="5F6E33B1"/>
    <w:rsid w:val="5FB10124"/>
    <w:rsid w:val="5FB11953"/>
    <w:rsid w:val="60057702"/>
    <w:rsid w:val="60172FF8"/>
    <w:rsid w:val="601C182B"/>
    <w:rsid w:val="60211F2A"/>
    <w:rsid w:val="60BB3669"/>
    <w:rsid w:val="61255E01"/>
    <w:rsid w:val="6127026C"/>
    <w:rsid w:val="61DC7A61"/>
    <w:rsid w:val="62F101A5"/>
    <w:rsid w:val="62F56F6C"/>
    <w:rsid w:val="63410CF5"/>
    <w:rsid w:val="63937D53"/>
    <w:rsid w:val="639F00A6"/>
    <w:rsid w:val="63F832BB"/>
    <w:rsid w:val="6449280E"/>
    <w:rsid w:val="645B1267"/>
    <w:rsid w:val="647B19DE"/>
    <w:rsid w:val="64874E71"/>
    <w:rsid w:val="64DD150E"/>
    <w:rsid w:val="651C2DAA"/>
    <w:rsid w:val="65E36D76"/>
    <w:rsid w:val="668566B2"/>
    <w:rsid w:val="66970D9E"/>
    <w:rsid w:val="66A21F41"/>
    <w:rsid w:val="67242A8C"/>
    <w:rsid w:val="67267C6A"/>
    <w:rsid w:val="67511745"/>
    <w:rsid w:val="682D4CD4"/>
    <w:rsid w:val="68380972"/>
    <w:rsid w:val="68921E8E"/>
    <w:rsid w:val="68F26FE1"/>
    <w:rsid w:val="699D2674"/>
    <w:rsid w:val="69B44CEB"/>
    <w:rsid w:val="6A056A31"/>
    <w:rsid w:val="6A7445B9"/>
    <w:rsid w:val="6BB14F01"/>
    <w:rsid w:val="6BB57448"/>
    <w:rsid w:val="6BC158B7"/>
    <w:rsid w:val="6BF079E2"/>
    <w:rsid w:val="6C1D2A20"/>
    <w:rsid w:val="6C554470"/>
    <w:rsid w:val="6C98646F"/>
    <w:rsid w:val="6D006521"/>
    <w:rsid w:val="6D0804C9"/>
    <w:rsid w:val="6D5B7974"/>
    <w:rsid w:val="6D932733"/>
    <w:rsid w:val="6D950126"/>
    <w:rsid w:val="6E074970"/>
    <w:rsid w:val="6ED5591F"/>
    <w:rsid w:val="6EE45524"/>
    <w:rsid w:val="6F043D1C"/>
    <w:rsid w:val="6F1E09C6"/>
    <w:rsid w:val="6F7147BD"/>
    <w:rsid w:val="6FD300D9"/>
    <w:rsid w:val="70256EF6"/>
    <w:rsid w:val="706B128C"/>
    <w:rsid w:val="70A1715B"/>
    <w:rsid w:val="70A83521"/>
    <w:rsid w:val="70B7702D"/>
    <w:rsid w:val="71064CB1"/>
    <w:rsid w:val="715A78A1"/>
    <w:rsid w:val="715A78A9"/>
    <w:rsid w:val="71FD1425"/>
    <w:rsid w:val="720A5EC7"/>
    <w:rsid w:val="722948D0"/>
    <w:rsid w:val="725958AB"/>
    <w:rsid w:val="72D410A8"/>
    <w:rsid w:val="72DA60B1"/>
    <w:rsid w:val="72FC13C5"/>
    <w:rsid w:val="730215CB"/>
    <w:rsid w:val="732B2BA2"/>
    <w:rsid w:val="733A703B"/>
    <w:rsid w:val="73457806"/>
    <w:rsid w:val="735F1392"/>
    <w:rsid w:val="73722864"/>
    <w:rsid w:val="73921520"/>
    <w:rsid w:val="73DD64F6"/>
    <w:rsid w:val="73F74A87"/>
    <w:rsid w:val="744F08B3"/>
    <w:rsid w:val="74710267"/>
    <w:rsid w:val="74A11CF1"/>
    <w:rsid w:val="74C72B7C"/>
    <w:rsid w:val="755F0F99"/>
    <w:rsid w:val="75A6142E"/>
    <w:rsid w:val="75BB139E"/>
    <w:rsid w:val="76146E75"/>
    <w:rsid w:val="76695589"/>
    <w:rsid w:val="76A450A9"/>
    <w:rsid w:val="76F04A08"/>
    <w:rsid w:val="774C0587"/>
    <w:rsid w:val="777E355D"/>
    <w:rsid w:val="77DD191D"/>
    <w:rsid w:val="77E20F20"/>
    <w:rsid w:val="77EA2476"/>
    <w:rsid w:val="77F30BD3"/>
    <w:rsid w:val="780C53BF"/>
    <w:rsid w:val="78370A43"/>
    <w:rsid w:val="784908F5"/>
    <w:rsid w:val="78892CA7"/>
    <w:rsid w:val="789823B8"/>
    <w:rsid w:val="78F77815"/>
    <w:rsid w:val="79085209"/>
    <w:rsid w:val="795855E1"/>
    <w:rsid w:val="79C20520"/>
    <w:rsid w:val="7A3B4574"/>
    <w:rsid w:val="7A4935BE"/>
    <w:rsid w:val="7A8F6270"/>
    <w:rsid w:val="7ADA3342"/>
    <w:rsid w:val="7AF657DF"/>
    <w:rsid w:val="7B5D0712"/>
    <w:rsid w:val="7BC437C2"/>
    <w:rsid w:val="7C0E157D"/>
    <w:rsid w:val="7C180996"/>
    <w:rsid w:val="7C3B5B52"/>
    <w:rsid w:val="7C611DDE"/>
    <w:rsid w:val="7C847D7F"/>
    <w:rsid w:val="7C9E535E"/>
    <w:rsid w:val="7CCC2EFB"/>
    <w:rsid w:val="7CDD15C1"/>
    <w:rsid w:val="7CEA1AE7"/>
    <w:rsid w:val="7DD751D5"/>
    <w:rsid w:val="7DD761B7"/>
    <w:rsid w:val="7E786053"/>
    <w:rsid w:val="7E943DE2"/>
    <w:rsid w:val="7F195DCC"/>
    <w:rsid w:val="7F1A0C80"/>
    <w:rsid w:val="7F367B50"/>
    <w:rsid w:val="7F872018"/>
    <w:rsid w:val="7FA3074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link w:val="23"/>
    <w:qFormat/>
    <w:uiPriority w:val="99"/>
    <w:pPr>
      <w:spacing w:beforeLines="30"/>
    </w:pPr>
    <w:rPr>
      <w:rFonts w:ascii="仿宋_GB2312" w:eastAsia="仿宋_GB2312"/>
      <w:kern w:val="0"/>
      <w:sz w:val="30"/>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29"/>
    <w:semiHidden/>
    <w:unhideWhenUsed/>
    <w:qFormat/>
    <w:uiPriority w:val="99"/>
    <w:rPr>
      <w:sz w:val="18"/>
      <w:szCs w:val="18"/>
    </w:rPr>
  </w:style>
  <w:style w:type="paragraph" w:styleId="9">
    <w:name w:val="footer"/>
    <w:basedOn w:val="1"/>
    <w:link w:val="21"/>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19"/>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Normal (Web)"/>
    <w:basedOn w:val="1"/>
    <w:unhideWhenUsed/>
    <w:qFormat/>
    <w:uiPriority w:val="0"/>
    <w:pPr>
      <w:widowControl/>
      <w:jc w:val="left"/>
    </w:pPr>
    <w:rPr>
      <w:rFonts w:ascii="宋体" w:hAnsi="宋体" w:cs="宋体"/>
      <w:kern w:val="0"/>
      <w:sz w:val="24"/>
    </w:r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rPr>
  </w:style>
  <w:style w:type="character" w:customStyle="1" w:styleId="18">
    <w:name w:val="Header Char"/>
    <w:basedOn w:val="15"/>
    <w:semiHidden/>
    <w:qFormat/>
    <w:uiPriority w:val="99"/>
    <w:rPr>
      <w:rFonts w:ascii="Times New Roman" w:hAnsi="Times New Roman"/>
      <w:sz w:val="18"/>
      <w:szCs w:val="18"/>
    </w:rPr>
  </w:style>
  <w:style w:type="character" w:customStyle="1" w:styleId="19">
    <w:name w:val="页眉 Char"/>
    <w:link w:val="10"/>
    <w:semiHidden/>
    <w:qFormat/>
    <w:locked/>
    <w:uiPriority w:val="99"/>
    <w:rPr>
      <w:sz w:val="18"/>
    </w:rPr>
  </w:style>
  <w:style w:type="character" w:customStyle="1" w:styleId="20">
    <w:name w:val="Footer Char"/>
    <w:basedOn w:val="15"/>
    <w:semiHidden/>
    <w:qFormat/>
    <w:uiPriority w:val="99"/>
    <w:rPr>
      <w:rFonts w:ascii="Times New Roman" w:hAnsi="Times New Roman"/>
      <w:sz w:val="18"/>
      <w:szCs w:val="18"/>
    </w:rPr>
  </w:style>
  <w:style w:type="character" w:customStyle="1" w:styleId="21">
    <w:name w:val="页脚 Char"/>
    <w:link w:val="9"/>
    <w:qFormat/>
    <w:locked/>
    <w:uiPriority w:val="99"/>
    <w:rPr>
      <w:sz w:val="18"/>
    </w:rPr>
  </w:style>
  <w:style w:type="character" w:customStyle="1" w:styleId="22">
    <w:name w:val="Body Text Char"/>
    <w:basedOn w:val="15"/>
    <w:semiHidden/>
    <w:qFormat/>
    <w:uiPriority w:val="99"/>
    <w:rPr>
      <w:rFonts w:ascii="Times New Roman" w:hAnsi="Times New Roman"/>
      <w:szCs w:val="24"/>
    </w:rPr>
  </w:style>
  <w:style w:type="character" w:customStyle="1" w:styleId="23">
    <w:name w:val="正文文本 Char"/>
    <w:link w:val="6"/>
    <w:qFormat/>
    <w:locked/>
    <w:uiPriority w:val="99"/>
    <w:rPr>
      <w:rFonts w:ascii="仿宋_GB2312" w:hAnsi="Times New Roman" w:eastAsia="仿宋_GB2312"/>
      <w:sz w:val="24"/>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5">
    <w:name w:val="List Paragraph"/>
    <w:basedOn w:val="1"/>
    <w:qFormat/>
    <w:uiPriority w:val="34"/>
    <w:pPr>
      <w:ind w:firstLine="420" w:firstLineChars="200"/>
    </w:pPr>
  </w:style>
  <w:style w:type="character" w:customStyle="1" w:styleId="26">
    <w:name w:val="标题 1 Char"/>
    <w:basedOn w:val="15"/>
    <w:link w:val="2"/>
    <w:qFormat/>
    <w:uiPriority w:val="9"/>
    <w:rPr>
      <w:rFonts w:ascii="Times New Roman" w:hAnsi="Times New Roman"/>
      <w:b/>
      <w:bCs/>
      <w:kern w:val="44"/>
      <w:sz w:val="44"/>
      <w:szCs w:val="44"/>
    </w:rPr>
  </w:style>
  <w:style w:type="character" w:customStyle="1" w:styleId="27">
    <w:name w:val="标题 2 Char"/>
    <w:basedOn w:val="15"/>
    <w:link w:val="3"/>
    <w:qFormat/>
    <w:uiPriority w:val="9"/>
    <w:rPr>
      <w:rFonts w:asciiTheme="majorHAnsi" w:hAnsiTheme="majorHAnsi" w:eastAsiaTheme="majorEastAsia" w:cstheme="majorBidi"/>
      <w:b/>
      <w:bCs/>
      <w:kern w:val="2"/>
      <w:sz w:val="32"/>
      <w:szCs w:val="32"/>
    </w:rPr>
  </w:style>
  <w:style w:type="paragraph" w:customStyle="1" w:styleId="2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9">
    <w:name w:val="批注框文本 Char"/>
    <w:basedOn w:val="15"/>
    <w:link w:val="8"/>
    <w:semiHidden/>
    <w:qFormat/>
    <w:uiPriority w:val="99"/>
    <w:rPr>
      <w:rFonts w:ascii="Times New Roman" w:hAnsi="Times New Roman"/>
      <w:kern w:val="2"/>
      <w:sz w:val="18"/>
      <w:szCs w:val="18"/>
    </w:rPr>
  </w:style>
  <w:style w:type="character" w:customStyle="1" w:styleId="30">
    <w:name w:val="标题 3 Char"/>
    <w:basedOn w:val="15"/>
    <w:link w:val="4"/>
    <w:qFormat/>
    <w:uiPriority w:val="9"/>
    <w:rPr>
      <w:rFonts w:ascii="Times New Roman" w:hAnsi="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收、支决算总计变动情况图（万元）</a:t>
            </a:r>
          </a:p>
        </c:rich>
      </c:tx>
      <c:layout>
        <c:manualLayout>
          <c:xMode val="edge"/>
          <c:yMode val="edge"/>
          <c:x val="0.266211893612072"/>
          <c:y val="0.0117554858934169"/>
        </c:manualLayout>
      </c:layout>
      <c:overlay val="0"/>
      <c:spPr>
        <a:noFill/>
        <a:ln>
          <a:noFill/>
        </a:ln>
        <a:effectLst/>
      </c:spPr>
    </c:title>
    <c:autoTitleDeleted val="0"/>
    <c:plotArea>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Sheet1!$A$2:$A$3</c:f>
              <c:numCache>
                <c:formatCode>General</c:formatCode>
                <c:ptCount val="2"/>
                <c:pt idx="0">
                  <c:v>2019</c:v>
                </c:pt>
                <c:pt idx="1">
                  <c:v>2020</c:v>
                </c:pt>
              </c:numCache>
            </c:numRef>
          </c:cat>
          <c:val>
            <c:numRef>
              <c:f>Sheet1!$B$2:$B$3</c:f>
              <c:numCache>
                <c:formatCode>General</c:formatCode>
                <c:ptCount val="2"/>
                <c:pt idx="0">
                  <c:v>4109.61</c:v>
                </c:pt>
                <c:pt idx="1">
                  <c:v>4668.85</c:v>
                </c:pt>
              </c:numCache>
            </c:numRef>
          </c:val>
        </c:ser>
        <c:dLbls>
          <c:showLegendKey val="0"/>
          <c:showVal val="1"/>
          <c:showCatName val="0"/>
          <c:showSerName val="0"/>
          <c:showPercent val="0"/>
          <c:showBubbleSize val="0"/>
        </c:dLbls>
        <c:gapWidth val="150"/>
        <c:overlap val="100"/>
        <c:axId val="168312192"/>
        <c:axId val="204524160"/>
      </c:barChart>
      <c:catAx>
        <c:axId val="16831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4524160"/>
        <c:crosses val="autoZero"/>
        <c:auto val="1"/>
        <c:lblAlgn val="ctr"/>
        <c:lblOffset val="100"/>
        <c:noMultiLvlLbl val="0"/>
      </c:catAx>
      <c:valAx>
        <c:axId val="2045241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831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收入决算结构图（万元）</c:v>
                </c:pt>
              </c:strCache>
            </c:strRef>
          </c:tx>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2"/>
              </a:solidFill>
              <a:ln w="19050">
                <a:solidFill>
                  <a:schemeClr val="lt1"/>
                </a:solidFill>
              </a:ln>
              <a:effectLst/>
            </c:spPr>
          </c:dPt>
          <c:dLbls>
            <c:delete val="1"/>
          </c:dLbls>
          <c:cat>
            <c:strRef>
              <c:f>Sheet1!$A$2:$A$3</c:f>
              <c:strCache>
                <c:ptCount val="2"/>
                <c:pt idx="0">
                  <c:v>2019年一般公共预算财政拨款收入3009.61万元</c:v>
                </c:pt>
                <c:pt idx="1">
                  <c:v>2020年一般公共预算财政拨款收入4668.85万元</c:v>
                </c:pt>
              </c:strCache>
            </c:strRef>
          </c:cat>
          <c:val>
            <c:numRef>
              <c:f>Sheet1!$B$2:$B$3</c:f>
              <c:numCache>
                <c:formatCode>General</c:formatCode>
                <c:ptCount val="2"/>
                <c:pt idx="0">
                  <c:v>3009.61</c:v>
                </c:pt>
                <c:pt idx="1">
                  <c:v>4668.85</c:v>
                </c:pt>
              </c:numCache>
            </c:numRef>
          </c:val>
        </c:ser>
        <c:dLbls>
          <c:showLegendKey val="0"/>
          <c:showVal val="0"/>
          <c:showCatName val="0"/>
          <c:showSerName val="0"/>
          <c:showPercent val="0"/>
          <c:showBubbleSize val="0"/>
        </c:dLbls>
        <c:gapWidth val="100"/>
        <c:overlap val="100"/>
        <c:axId val="222641536"/>
        <c:axId val="216740992"/>
      </c:barChart>
      <c:catAx>
        <c:axId val="22264153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6740992"/>
        <c:crosses val="autoZero"/>
        <c:auto val="1"/>
        <c:lblAlgn val="ctr"/>
        <c:lblOffset val="100"/>
        <c:noMultiLvlLbl val="0"/>
      </c:catAx>
      <c:valAx>
        <c:axId val="2167409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226415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支出决算结构图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Sheet1!$A$2:$A$3</c:f>
              <c:strCache>
                <c:ptCount val="2"/>
                <c:pt idx="0">
                  <c:v>基本支出1896.26万元</c:v>
                </c:pt>
                <c:pt idx="1">
                  <c:v>项目支出2772.59万元</c:v>
                </c:pt>
              </c:strCache>
            </c:strRef>
          </c:cat>
          <c:val>
            <c:numRef>
              <c:f>Sheet1!$B$2:$B$3</c:f>
              <c:numCache>
                <c:formatCode>General</c:formatCode>
                <c:ptCount val="2"/>
                <c:pt idx="0">
                  <c:v>1896.26</c:v>
                </c:pt>
                <c:pt idx="1">
                  <c:v>2772.59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财政拨款收、支决算总计变动情况图（万元）</a:t>
            </a:r>
          </a:p>
        </c:rich>
      </c:tx>
      <c:layout>
        <c:manualLayout>
          <c:xMode val="edge"/>
          <c:yMode val="edge"/>
          <c:x val="0.0882961441349845"/>
          <c:y val="0.00925354719309068"/>
        </c:manualLayout>
      </c:layout>
      <c:overlay val="0"/>
      <c:spPr>
        <a:noFill/>
        <a:ln>
          <a:noFill/>
        </a:ln>
        <a:effectLst/>
      </c:spPr>
    </c:title>
    <c:autoTitleDeleted val="0"/>
    <c:plotArea>
      <c:layout>
        <c:manualLayout>
          <c:layoutTarget val="inner"/>
          <c:xMode val="edge"/>
          <c:yMode val="edge"/>
          <c:x val="0.127503508916147"/>
          <c:y val="0.360512203659263"/>
          <c:w val="0.868401486988849"/>
          <c:h val="0.511912225705327"/>
        </c:manualLayout>
      </c:layout>
      <c:barChart>
        <c:barDir val="col"/>
        <c:grouping val="stacked"/>
        <c:varyColors val="0"/>
        <c:ser>
          <c:idx val="0"/>
          <c:order val="0"/>
          <c:tx>
            <c:strRef>
              <c:f>Sheet1!$B$1</c:f>
              <c:strCache>
                <c:ptCount val="1"/>
                <c:pt idx="0">
                  <c:v>财政拨款收、支决算总计变动情况</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Sheet1!$A$2:$A$3</c:f>
              <c:numCache>
                <c:formatCode>General</c:formatCode>
                <c:ptCount val="2"/>
                <c:pt idx="0">
                  <c:v>2019</c:v>
                </c:pt>
                <c:pt idx="1">
                  <c:v>2020</c:v>
                </c:pt>
              </c:numCache>
            </c:numRef>
          </c:cat>
          <c:val>
            <c:numRef>
              <c:f>Sheet1!$B$2:$B$3</c:f>
              <c:numCache>
                <c:formatCode>General</c:formatCode>
                <c:ptCount val="2"/>
                <c:pt idx="0">
                  <c:v>4009.61</c:v>
                </c:pt>
                <c:pt idx="1">
                  <c:v>4668.85</c:v>
                </c:pt>
              </c:numCache>
            </c:numRef>
          </c:val>
        </c:ser>
        <c:dLbls>
          <c:showLegendKey val="0"/>
          <c:showVal val="1"/>
          <c:showCatName val="0"/>
          <c:showSerName val="0"/>
          <c:showPercent val="0"/>
          <c:showBubbleSize val="0"/>
        </c:dLbls>
        <c:gapWidth val="150"/>
        <c:overlap val="100"/>
        <c:axId val="185053184"/>
        <c:axId val="185054720"/>
      </c:barChart>
      <c:catAx>
        <c:axId val="18505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5054720"/>
        <c:crosses val="autoZero"/>
        <c:auto val="1"/>
        <c:lblAlgn val="ctr"/>
        <c:lblOffset val="100"/>
        <c:noMultiLvlLbl val="0"/>
      </c:catAx>
      <c:valAx>
        <c:axId val="1850547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505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一般公共预算财政拨款支出决算变动情况（万元）</a:t>
            </a:r>
          </a:p>
        </c:rich>
      </c:tx>
      <c:layout/>
      <c:overlay val="0"/>
      <c:spPr>
        <a:noFill/>
        <a:ln>
          <a:noFill/>
        </a:ln>
        <a:effectLst/>
      </c:spPr>
    </c:title>
    <c:autoTitleDeleted val="0"/>
    <c:plotArea>
      <c:layout/>
      <c:barChart>
        <c:barDir val="col"/>
        <c:grouping val="stacked"/>
        <c:varyColors val="0"/>
        <c:ser>
          <c:idx val="0"/>
          <c:order val="0"/>
          <c:tx>
            <c:strRef>
              <c:f>Sheet1!$B$1</c:f>
              <c:strCache>
                <c:ptCount val="1"/>
                <c:pt idx="0">
                  <c:v>一般公共预算财政拨款支出决算变动情况</c:v>
                </c:pt>
              </c:strCache>
            </c:strRef>
          </c:tx>
          <c:spPr>
            <a:gradFill>
              <a:gsLst>
                <a:gs pos="0">
                  <a:srgbClr val="FECF40"/>
                </a:gs>
                <a:gs pos="100000">
                  <a:srgbClr val="846C21"/>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extLst>
                <c:ext xmlns:c15="http://schemas.microsoft.com/office/drawing/2012/chart" uri="{02D57815-91ED-43cb-92C2-25804820EDAC}">
                  <c15:fullRef>
                    <c15:sqref>Sheet1!$A$2:$A$3</c15:sqref>
                  </c15:fullRef>
                </c:ext>
              </c:extLst>
              <c:f>Sheet1!$A$2:$A$3</c:f>
              <c:numCache>
                <c:formatCode>General</c:formatCode>
                <c:ptCount val="2"/>
                <c:pt idx="0">
                  <c:v>2019</c:v>
                </c:pt>
                <c:pt idx="1">
                  <c:v>2020</c:v>
                </c:pt>
              </c:numCache>
            </c:numRef>
          </c:cat>
          <c:val>
            <c:numRef>
              <c:extLst>
                <c:ext xmlns:c15="http://schemas.microsoft.com/office/drawing/2012/chart" uri="{02D57815-91ED-43cb-92C2-25804820EDAC}">
                  <c15:fullRef>
                    <c15:sqref>Sheet1!$B$2:$B$3</c15:sqref>
                  </c15:fullRef>
                </c:ext>
              </c:extLst>
              <c:f>Sheet1!$B$2:$B$3</c:f>
              <c:numCache>
                <c:formatCode>General</c:formatCode>
                <c:ptCount val="2"/>
                <c:pt idx="0">
                  <c:v>3009.61</c:v>
                </c:pt>
                <c:pt idx="1">
                  <c:v>4668.85</c:v>
                </c:pt>
              </c:numCache>
            </c:numRef>
          </c:val>
        </c:ser>
        <c:dLbls>
          <c:showLegendKey val="0"/>
          <c:showVal val="1"/>
          <c:showCatName val="0"/>
          <c:showSerName val="0"/>
          <c:showPercent val="0"/>
          <c:showBubbleSize val="0"/>
        </c:dLbls>
        <c:gapWidth val="150"/>
        <c:overlap val="100"/>
        <c:axId val="216905600"/>
        <c:axId val="216907136"/>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extLst>
                      <c:ext uri="{02D57815-91ED-43cb-92C2-25804820EDAC}">
                        <c15:fullRef>
                          <c15:sqref>Sheet1!$A$2:$A$3</c15:sqref>
                        </c15:fullRef>
                        <c15:formulaRef>
                          <c15:sqref>Sheet1!$A$2:$A$3</c15:sqref>
                        </c15:formulaRef>
                      </c:ext>
                    </c:extLst>
                    <c:numCache>
                      <c:formatCode>General</c:formatCode>
                      <c:ptCount val="2"/>
                      <c:pt idx="0">
                        <c:v>2019</c:v>
                      </c:pt>
                      <c:pt idx="1">
                        <c:v>2020</c:v>
                      </c:pt>
                    </c:numCache>
                  </c:numRef>
                </c:cat>
              </c15:ser>
            </c15:filteredBarSeries>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extLst>
                      <c:ext uri="{02D57815-91ED-43cb-92C2-25804820EDAC}">
                        <c15:fullRef>
                          <c15:sqref>Sheet1!$A$2:$A$3</c15:sqref>
                        </c15:fullRef>
                        <c15:formulaRef>
                          <c15:sqref>Sheet1!$A$2:$A$3</c15:sqref>
                        </c15:formulaRef>
                      </c:ext>
                    </c:extLst>
                    <c:numCache>
                      <c:formatCode>General</c:formatCode>
                      <c:ptCount val="2"/>
                      <c:pt idx="0">
                        <c:v>2019</c:v>
                      </c:pt>
                      <c:pt idx="1">
                        <c:v>2020</c:v>
                      </c:pt>
                    </c:numCache>
                  </c:numRef>
                </c:cat>
              </c15:ser>
            </c15:filteredBarSeries>
          </c:ext>
        </c:extLst>
      </c:barChart>
      <c:catAx>
        <c:axId val="21690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6907136"/>
        <c:crosses val="autoZero"/>
        <c:auto val="1"/>
        <c:lblAlgn val="ctr"/>
        <c:lblOffset val="100"/>
        <c:noMultiLvlLbl val="0"/>
      </c:catAx>
      <c:valAx>
        <c:axId val="2169071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690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一般公共预算财政拨款支出决算结构</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社会保障和就业（类）支出161.85万元</c:v>
                </c:pt>
                <c:pt idx="1">
                  <c:v>卫生健康支出79.3万元</c:v>
                </c:pt>
                <c:pt idx="2">
                  <c:v>城乡社区支出2756.46万元</c:v>
                </c:pt>
                <c:pt idx="3">
                  <c:v>农林水支出12万元</c:v>
                </c:pt>
              </c:strCache>
            </c:strRef>
          </c:cat>
          <c:val>
            <c:numRef>
              <c:f>Sheet1!$B$2:$B$5</c:f>
              <c:numCache>
                <c:formatCode>General</c:formatCode>
                <c:ptCount val="4"/>
                <c:pt idx="0">
                  <c:v>161.85</c:v>
                </c:pt>
                <c:pt idx="1">
                  <c:v>79.3</c:v>
                </c:pt>
                <c:pt idx="2">
                  <c:v>2756.46</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“三公”经费财政拨款支出结构</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Sheet1!$A$2:$A$4</c:f>
              <c:strCache>
                <c:ptCount val="3"/>
                <c:pt idx="0">
                  <c:v>因公出国（境）费支出决算0万元</c:v>
                </c:pt>
                <c:pt idx="1">
                  <c:v>公务用车购置及运行维护费支出决算5.1万元</c:v>
                </c:pt>
                <c:pt idx="2">
                  <c:v>公务接待费支出决算0.6万元</c:v>
                </c:pt>
              </c:strCache>
            </c:strRef>
          </c:cat>
          <c:val>
            <c:numRef>
              <c:f>Sheet1!$B$2:$B$4</c:f>
              <c:numCache>
                <c:formatCode>General</c:formatCode>
                <c:ptCount val="3"/>
                <c:pt idx="0">
                  <c:v>0</c:v>
                </c:pt>
                <c:pt idx="1">
                  <c:v>5.1</c:v>
                </c:pt>
                <c:pt idx="2">
                  <c:v>0.6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DE3AD-2216-4D27-BCFA-4273CA0F3A9F}">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29</Pages>
  <Words>11059</Words>
  <Characters>11996</Characters>
  <Lines>98</Lines>
  <Paragraphs>27</Paragraphs>
  <TotalTime>6</TotalTime>
  <ScaleCrop>false</ScaleCrop>
  <LinksUpToDate>false</LinksUpToDate>
  <CharactersWithSpaces>12120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2021-10-29T05:33:00Z</dcterms:created>
  <dc:creator>张彬茜</dc:creator>
  <cp:lastModifiedBy>weiff</cp:lastModifiedBy>
  <cp:lastPrinted>2021-11-02T08:25:00Z</cp:lastPrinted>
  <dcterms:modified xsi:type="dcterms:W3CDTF">2022-08-11T00:13:42Z</dcterms:modified>
  <dc:title>四川省***</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79A716655CF044728835FBABCC2D0685</vt:lpwstr>
  </property>
</Properties>
</file>