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bookmarkStart w:id="0" w:name="_Toc15306267"/>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default" w:eastAsia="方正小标宋简体" w:cs="Times New Roman"/>
          <w:color w:val="000000"/>
          <w:sz w:val="52"/>
          <w:szCs w:val="52"/>
          <w:lang w:val="en-US" w:eastAsia="zh-CN"/>
        </w:rPr>
      </w:pPr>
      <w:bookmarkStart w:id="1" w:name="_Toc15378441"/>
      <w:bookmarkStart w:id="2" w:name="_Toc15377425"/>
      <w:bookmarkStart w:id="3" w:name="_Toc15377193"/>
      <w:bookmarkStart w:id="4" w:name="_Toc15396597"/>
      <w:bookmarkStart w:id="5" w:name="_Toc15396475"/>
      <w:r>
        <w:rPr>
          <w:rFonts w:hint="default" w:eastAsia="方正小标宋简体" w:cs="Times New Roman"/>
          <w:color w:val="000000"/>
          <w:sz w:val="52"/>
          <w:szCs w:val="52"/>
          <w:lang w:eastAsia="zh-CN"/>
        </w:rPr>
        <w:t>201</w:t>
      </w:r>
      <w:r>
        <w:rPr>
          <w:rFonts w:hint="eastAsia" w:eastAsia="方正小标宋简体" w:cs="Times New Roman"/>
          <w:color w:val="000000"/>
          <w:sz w:val="52"/>
          <w:szCs w:val="52"/>
          <w:lang w:val="en-US" w:eastAsia="zh-CN"/>
        </w:rPr>
        <w:t>9</w:t>
      </w:r>
      <w:r>
        <w:rPr>
          <w:rFonts w:hint="default" w:eastAsia="方正小标宋简体" w:cs="Times New Roman"/>
          <w:color w:val="000000"/>
          <w:sz w:val="52"/>
          <w:szCs w:val="52"/>
          <w:lang w:eastAsia="zh-CN"/>
        </w:rPr>
        <w:t>年度</w:t>
      </w:r>
      <w:bookmarkEnd w:id="1"/>
      <w:bookmarkEnd w:id="2"/>
      <w:bookmarkEnd w:id="3"/>
      <w:bookmarkEnd w:id="4"/>
      <w:bookmarkEnd w:id="5"/>
      <w:bookmarkStart w:id="6" w:name="_Toc15378442"/>
      <w:bookmarkStart w:id="7" w:name="_Toc15396476"/>
      <w:bookmarkStart w:id="8" w:name="_Toc15396598"/>
      <w:bookmarkStart w:id="9" w:name="_Toc15377426"/>
      <w:bookmarkStart w:id="10" w:name="_Toc15377194"/>
      <w:r>
        <w:rPr>
          <w:rFonts w:hint="default" w:eastAsia="方正小标宋简体" w:cs="Times New Roman"/>
          <w:color w:val="000000"/>
          <w:sz w:val="52"/>
          <w:szCs w:val="52"/>
          <w:lang w:eastAsia="zh-CN"/>
        </w:rPr>
        <w:t>平昌县</w:t>
      </w:r>
      <w:bookmarkEnd w:id="0"/>
      <w:bookmarkStart w:id="11" w:name="_Toc15306268"/>
      <w:r>
        <w:rPr>
          <w:rFonts w:hint="eastAsia" w:eastAsia="方正小标宋简体" w:cs="Times New Roman"/>
          <w:color w:val="000000"/>
          <w:sz w:val="52"/>
          <w:szCs w:val="52"/>
          <w:lang w:val="en-US" w:eastAsia="zh-CN"/>
        </w:rPr>
        <w:t>医疗保障局</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52"/>
          <w:szCs w:val="52"/>
          <w:lang w:eastAsia="zh-CN"/>
        </w:rPr>
      </w:pPr>
      <w:r>
        <w:rPr>
          <w:rFonts w:hint="default" w:ascii="Times New Roman" w:hAnsi="Times New Roman" w:eastAsia="方正小标宋简体" w:cs="Times New Roman"/>
          <w:color w:val="auto"/>
          <w:sz w:val="52"/>
          <w:szCs w:val="52"/>
        </w:rPr>
        <w:t>部门</w:t>
      </w:r>
      <w:r>
        <w:rPr>
          <w:rFonts w:hint="default" w:ascii="Times New Roman" w:hAnsi="Times New Roman" w:eastAsia="方正小标宋简体" w:cs="Times New Roman"/>
          <w:color w:val="000000"/>
          <w:sz w:val="52"/>
          <w:szCs w:val="52"/>
        </w:rPr>
        <w:t>决算</w:t>
      </w:r>
      <w:bookmarkEnd w:id="6"/>
      <w:bookmarkEnd w:id="7"/>
      <w:bookmarkEnd w:id="8"/>
      <w:bookmarkEnd w:id="9"/>
      <w:bookmarkEnd w:id="10"/>
      <w:bookmarkEnd w:id="11"/>
      <w:r>
        <w:rPr>
          <w:rFonts w:hint="eastAsia" w:eastAsia="方正小标宋简体" w:cs="Times New Roman"/>
          <w:color w:val="000000"/>
          <w:sz w:val="52"/>
          <w:szCs w:val="52"/>
          <w:lang w:eastAsia="zh-CN"/>
        </w:rPr>
        <w:t>公开编制说明</w:t>
      </w: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pageBreakBefore w:val="0"/>
        <w:widowControl/>
        <w:kinsoku/>
        <w:wordWrap/>
        <w:overflowPunct/>
        <w:topLinePunct w:val="0"/>
        <w:bidi w:val="0"/>
        <w:spacing w:line="56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color w:val="000000"/>
          <w:sz w:val="48"/>
          <w:szCs w:val="48"/>
          <w:highlight w:val="none"/>
        </w:rPr>
        <w:fldChar w:fldCharType="begin"/>
      </w:r>
      <w:r>
        <w:rPr>
          <w:rFonts w:hint="default" w:ascii="Times New Roman" w:hAnsi="Times New Roman" w:eastAsia="黑体" w:cs="Times New Roman"/>
          <w:color w:val="000000"/>
          <w:sz w:val="48"/>
          <w:szCs w:val="48"/>
          <w:highlight w:val="none"/>
        </w:rPr>
        <w:instrText xml:space="preserve"> TOC \o "1-2" \h \z \u </w:instrText>
      </w:r>
      <w:r>
        <w:rPr>
          <w:rFonts w:hint="default" w:ascii="Times New Roman" w:hAnsi="Times New Roman" w:eastAsia="黑体" w:cs="Times New Roman"/>
          <w:color w:val="000000"/>
          <w:sz w:val="48"/>
          <w:szCs w:val="48"/>
          <w:highlight w:val="none"/>
        </w:rPr>
        <w:fldChar w:fldCharType="separate"/>
      </w: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t>公开时间：2</w:t>
      </w:r>
      <w:r>
        <w:rPr>
          <w:rFonts w:hint="eastAsia" w:ascii="Times New Roman" w:hAnsi="Times New Roman" w:cs="Times New Roman"/>
          <w:highlight w:val="none"/>
          <w:lang w:val="en-US" w:eastAsia="zh-CN"/>
        </w:rPr>
        <w:t>020</w:t>
      </w:r>
      <w:r>
        <w:rPr>
          <w:rFonts w:hint="default" w:ascii="Times New Roman" w:hAnsi="Times New Roman" w:cs="Times New Roman"/>
          <w:highlight w:val="none"/>
        </w:rPr>
        <w:t>年1</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18</w:t>
      </w:r>
      <w:r>
        <w:rPr>
          <w:rFonts w:hint="default" w:ascii="Times New Roman" w:hAnsi="Times New Roman" w:cs="Times New Roman"/>
          <w:highlight w:val="none"/>
        </w:rPr>
        <w:t>日</w:t>
      </w:r>
    </w:p>
    <w:p>
      <w:pPr>
        <w:pageBreakBefore w:val="0"/>
        <w:kinsoku/>
        <w:wordWrap/>
        <w:overflowPunct/>
        <w:topLinePunct w:val="0"/>
        <w:bidi w:val="0"/>
        <w:spacing w:line="560" w:lineRule="exact"/>
        <w:rPr>
          <w:rFonts w:hint="default" w:ascii="Times New Roman" w:hAnsi="Times New Roman" w:cs="Times New Roman"/>
          <w:highlight w:val="none"/>
        </w:rPr>
      </w:pP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"_Toc15396599" </w:instrText>
      </w:r>
      <w:r>
        <w:rPr>
          <w:rFonts w:hint="default" w:ascii="Times New Roman" w:hAnsi="Times New Roman" w:cs="Times New Roman"/>
          <w:highlight w:val="none"/>
        </w:rPr>
        <w:fldChar w:fldCharType="separate"/>
      </w:r>
      <w:r>
        <w:rPr>
          <w:rStyle w:val="16"/>
          <w:rFonts w:hint="default" w:ascii="Times New Roman" w:hAnsi="Times New Roman" w:cs="Times New Roman"/>
          <w:highlight w:val="none"/>
        </w:rPr>
        <w:t>第一部分 部门概况</w:t>
      </w:r>
      <w:r>
        <w:rPr>
          <w:rFonts w:hint="default" w:ascii="Times New Roman" w:hAnsi="Times New Roman" w:cs="Times New Roman"/>
          <w:highlight w:val="none"/>
        </w:rPr>
        <w:tab/>
      </w:r>
      <w:r>
        <w:rPr>
          <w:rFonts w:hint="eastAsia" w:ascii="Times New Roman" w:hAnsi="Times New Roman" w:cs="Times New Roman"/>
          <w:highlight w:val="none"/>
          <w:lang w:val="en-US" w:eastAsia="zh-CN"/>
        </w:rPr>
        <w:t>3</w:t>
      </w:r>
      <w:r>
        <w:rPr>
          <w:rFonts w:hint="default" w:ascii="Times New Roman" w:hAnsi="Times New Roman" w:cs="Times New Roman"/>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"_Toc15396600"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一、基本职能及主要工作</w:t>
      </w:r>
      <w:r>
        <w:rPr>
          <w:rStyle w:val="16"/>
          <w:rFonts w:hint="eastAsia" w:eastAsia="仿宋" w:cs="Times New Roman"/>
          <w:sz w:val="28"/>
          <w:szCs w:val="28"/>
          <w:highlight w:val="none"/>
          <w:lang w:val="en-US" w:eastAsia="zh-CN"/>
        </w:rPr>
        <w:t>...................................................................</w:t>
      </w:r>
      <w:r>
        <w:rPr>
          <w:rFonts w:hint="eastAsia"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"_Toc15396601"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二、机构设置</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fldChar w:fldCharType="end"/>
      </w:r>
    </w:p>
    <w:p>
      <w:pPr>
        <w:pStyle w:val="11"/>
        <w:pageBreakBefore w:val="0"/>
        <w:kinsoku/>
        <w:wordWrap/>
        <w:overflowPunct/>
        <w:topLinePunct w:val="0"/>
        <w:bidi w:val="0"/>
        <w:spacing w:before="0" w:line="560" w:lineRule="exact"/>
        <w:rPr>
          <w:rFonts w:hint="eastAsia" w:ascii="Times New Roman" w:hAnsi="Times New Roman" w:eastAsia="仿宋"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"_Toc15396602" </w:instrText>
      </w:r>
      <w:r>
        <w:rPr>
          <w:rFonts w:hint="default" w:ascii="Times New Roman" w:hAnsi="Times New Roman" w:cs="Times New Roman"/>
          <w:highlight w:val="none"/>
        </w:rPr>
        <w:fldChar w:fldCharType="separate"/>
      </w:r>
      <w:r>
        <w:rPr>
          <w:rStyle w:val="16"/>
          <w:rFonts w:hint="default" w:ascii="Times New Roman" w:hAnsi="Times New Roman" w:cs="Times New Roman"/>
          <w:highlight w:val="none"/>
        </w:rPr>
        <w:t>第二部分 201</w:t>
      </w:r>
      <w:r>
        <w:rPr>
          <w:rStyle w:val="16"/>
          <w:rFonts w:hint="eastAsia" w:ascii="Times New Roman" w:hAnsi="Times New Roman" w:cs="Times New Roman"/>
          <w:highlight w:val="none"/>
          <w:lang w:val="en-US" w:eastAsia="zh-CN"/>
        </w:rPr>
        <w:t>9</w:t>
      </w:r>
      <w:r>
        <w:rPr>
          <w:rStyle w:val="16"/>
          <w:rFonts w:hint="default" w:ascii="Times New Roman" w:hAnsi="Times New Roman" w:cs="Times New Roman"/>
          <w:highlight w:val="none"/>
        </w:rPr>
        <w:t>年度部门决算情况说明</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1</w:t>
      </w:r>
      <w:r>
        <w:rPr>
          <w:rFonts w:hint="default" w:ascii="Times New Roman" w:hAnsi="Times New Roman" w:cs="Times New Roman"/>
          <w:highlight w:val="none"/>
        </w:rPr>
        <w:fldChar w:fldCharType="end"/>
      </w:r>
      <w:r>
        <w:rPr>
          <w:rFonts w:hint="eastAsia" w:ascii="Times New Roman" w:hAnsi="Times New Roman" w:cs="Times New Roman"/>
          <w:highlight w:val="none"/>
          <w:lang w:val="en-US" w:eastAsia="zh-CN"/>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"_Toc15396603"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bCs/>
          <w:sz w:val="28"/>
          <w:szCs w:val="28"/>
          <w:highlight w:val="none"/>
        </w:rPr>
        <w:t>一、</w:t>
      </w:r>
      <w:r>
        <w:rPr>
          <w:rStyle w:val="16"/>
          <w:rFonts w:hint="default" w:ascii="Times New Roman" w:hAnsi="Times New Roman" w:eastAsia="仿宋" w:cs="Times New Roman"/>
          <w:sz w:val="28"/>
          <w:szCs w:val="28"/>
          <w:highlight w:val="none"/>
        </w:rPr>
        <w:t>收</w:t>
      </w:r>
      <w:r>
        <w:rPr>
          <w:rStyle w:val="16"/>
          <w:rFonts w:hint="default" w:ascii="Times New Roman" w:hAnsi="Times New Roman" w:eastAsia="仿宋" w:cs="Times New Roman"/>
          <w:bCs/>
          <w:sz w:val="28"/>
          <w:szCs w:val="28"/>
          <w:highlight w:val="none"/>
        </w:rPr>
        <w:t>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"_Toc15396604"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bCs/>
          <w:sz w:val="28"/>
          <w:szCs w:val="28"/>
          <w:highlight w:val="none"/>
        </w:rPr>
        <w:t>二、</w:t>
      </w:r>
      <w:r>
        <w:rPr>
          <w:rStyle w:val="16"/>
          <w:rFonts w:hint="default" w:ascii="Times New Roman" w:hAnsi="Times New Roman" w:eastAsia="仿宋" w:cs="Times New Roman"/>
          <w:sz w:val="28"/>
          <w:szCs w:val="28"/>
          <w:highlight w:val="none"/>
        </w:rPr>
        <w:t>收</w:t>
      </w:r>
      <w:r>
        <w:rPr>
          <w:rStyle w:val="16"/>
          <w:rFonts w:hint="default" w:ascii="Times New Roman" w:hAnsi="Times New Roman" w:eastAsia="仿宋" w:cs="Times New Roman"/>
          <w:bCs/>
          <w:sz w:val="28"/>
          <w:szCs w:val="28"/>
          <w:highlight w:val="none"/>
        </w:rPr>
        <w:t>入决算情况说明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"_Toc15396605"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bCs/>
          <w:sz w:val="28"/>
          <w:szCs w:val="28"/>
          <w:highlight w:val="none"/>
        </w:rPr>
        <w:t>三、</w:t>
      </w:r>
      <w:r>
        <w:rPr>
          <w:rStyle w:val="16"/>
          <w:rFonts w:hint="default" w:ascii="Times New Roman" w:hAnsi="Times New Roman" w:eastAsia="仿宋" w:cs="Times New Roman"/>
          <w:sz w:val="28"/>
          <w:szCs w:val="28"/>
          <w:highlight w:val="none"/>
        </w:rPr>
        <w:t>支</w:t>
      </w:r>
      <w:r>
        <w:rPr>
          <w:rStyle w:val="16"/>
          <w:rFonts w:hint="default" w:ascii="Times New Roman" w:hAnsi="Times New Roman" w:eastAsia="仿宋" w:cs="Times New Roman"/>
          <w:bCs/>
          <w:sz w:val="28"/>
          <w:szCs w:val="28"/>
          <w:highlight w:val="none"/>
        </w:rPr>
        <w:t>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"_Toc15396606"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四、财</w:t>
      </w:r>
      <w:r>
        <w:rPr>
          <w:rStyle w:val="16"/>
          <w:rFonts w:hint="default" w:ascii="Times New Roman" w:hAnsi="Times New Roman" w:eastAsia="仿宋" w:cs="Times New Roman"/>
          <w:bCs/>
          <w:sz w:val="28"/>
          <w:szCs w:val="28"/>
          <w:highlight w:val="none"/>
        </w:rPr>
        <w:t>政拨款收入支出决算总体情况说明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"_Toc15396607"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五、一</w:t>
      </w:r>
      <w:r>
        <w:rPr>
          <w:rStyle w:val="16"/>
          <w:rFonts w:hint="default" w:ascii="Times New Roman" w:hAnsi="Times New Roman" w:eastAsia="仿宋" w:cs="Times New Roman"/>
          <w:bCs/>
          <w:sz w:val="28"/>
          <w:szCs w:val="28"/>
          <w:highlight w:val="none"/>
        </w:rPr>
        <w:t>般公共预算财政拨款支出决算情况说明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"_Toc15396608"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六、一</w:t>
      </w:r>
      <w:r>
        <w:rPr>
          <w:rStyle w:val="16"/>
          <w:rFonts w:hint="default" w:ascii="Times New Roman" w:hAnsi="Times New Roman" w:eastAsia="仿宋" w:cs="Times New Roman"/>
          <w:bCs/>
          <w:sz w:val="28"/>
          <w:szCs w:val="28"/>
          <w:highlight w:val="none"/>
        </w:rPr>
        <w:t>般公共预算财政拨款基本支出决算情况说明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2</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"_Toc15396609"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七、“</w:t>
      </w:r>
      <w:r>
        <w:rPr>
          <w:rStyle w:val="16"/>
          <w:rFonts w:hint="default" w:ascii="Times New Roman" w:hAnsi="Times New Roman" w:eastAsia="仿宋" w:cs="Times New Roman"/>
          <w:bCs/>
          <w:sz w:val="28"/>
          <w:szCs w:val="28"/>
          <w:highlight w:val="none"/>
        </w:rPr>
        <w:t>三公”经费财政拨款支出决算情况说明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2</w:t>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"_Toc15396610"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八、</w:t>
      </w:r>
      <w:r>
        <w:rPr>
          <w:rStyle w:val="16"/>
          <w:rFonts w:hint="default" w:ascii="Times New Roman" w:hAnsi="Times New Roman" w:eastAsia="仿宋" w:cs="Times New Roman"/>
          <w:bCs/>
          <w:sz w:val="28"/>
          <w:szCs w:val="28"/>
          <w:highlight w:val="none"/>
        </w:rPr>
        <w:t>政府性基金预算支出决算情况说明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4</w:t>
      </w:r>
    </w:p>
    <w:p>
      <w:pPr>
        <w:pStyle w:val="12"/>
        <w:pageBreakBefore w:val="0"/>
        <w:kinsoku/>
        <w:wordWrap/>
        <w:overflowPunct/>
        <w:topLinePunct w:val="0"/>
        <w:bidi w:val="0"/>
        <w:spacing w:line="560" w:lineRule="exact"/>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"_Toc15396611"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bCs/>
          <w:sz w:val="28"/>
          <w:szCs w:val="28"/>
          <w:highlight w:val="none"/>
        </w:rPr>
        <w:t>九、</w:t>
      </w:r>
      <w:r>
        <w:rPr>
          <w:rStyle w:val="16"/>
          <w:rFonts w:hint="default" w:ascii="Times New Roman" w:hAnsi="Times New Roman" w:eastAsia="仿宋" w:cs="Times New Roman"/>
          <w:sz w:val="28"/>
          <w:szCs w:val="28"/>
          <w:highlight w:val="none"/>
        </w:rPr>
        <w:t xml:space="preserve"> 国</w:t>
      </w:r>
      <w:r>
        <w:rPr>
          <w:rStyle w:val="16"/>
          <w:rFonts w:hint="default" w:ascii="Times New Roman" w:hAnsi="Times New Roman" w:eastAsia="仿宋" w:cs="Times New Roman"/>
          <w:bCs/>
          <w:sz w:val="28"/>
          <w:szCs w:val="28"/>
          <w:highlight w:val="none"/>
        </w:rPr>
        <w:t>有资本经营预算支出决算情况说明</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14</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"_Toc15396612"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十</w:t>
      </w:r>
      <w:r>
        <w:rPr>
          <w:rStyle w:val="16"/>
          <w:rFonts w:hint="default" w:ascii="Times New Roman" w:hAnsi="Times New Roman" w:eastAsia="仿宋" w:cs="Times New Roman"/>
          <w:bCs/>
          <w:sz w:val="28"/>
          <w:szCs w:val="28"/>
          <w:highlight w:val="none"/>
        </w:rPr>
        <w:t>、其他重要事项的情况说明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4</w:t>
      </w: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"_Toc15396613" </w:instrText>
      </w:r>
      <w:r>
        <w:rPr>
          <w:rFonts w:hint="default" w:ascii="Times New Roman" w:hAnsi="Times New Roman" w:cs="Times New Roman"/>
          <w:highlight w:val="none"/>
        </w:rPr>
        <w:fldChar w:fldCharType="separate"/>
      </w:r>
      <w:r>
        <w:rPr>
          <w:rStyle w:val="16"/>
          <w:rFonts w:hint="default" w:ascii="Times New Roman" w:hAnsi="Times New Roman" w:cs="Times New Roman"/>
          <w:bCs/>
          <w:kern w:val="44"/>
          <w:highlight w:val="none"/>
        </w:rPr>
        <w:t>第三部分</w:t>
      </w:r>
      <w:r>
        <w:rPr>
          <w:rStyle w:val="16"/>
          <w:rFonts w:hint="default" w:ascii="Times New Roman" w:hAnsi="Times New Roman" w:cs="Times New Roman"/>
          <w:highlight w:val="none"/>
        </w:rPr>
        <w:t xml:space="preserve"> 名</w:t>
      </w:r>
      <w:r>
        <w:rPr>
          <w:rStyle w:val="16"/>
          <w:rFonts w:hint="default" w:ascii="Times New Roman" w:hAnsi="Times New Roman" w:cs="Times New Roman"/>
          <w:bCs/>
          <w:kern w:val="44"/>
          <w:highlight w:val="none"/>
        </w:rPr>
        <w:t>词解释</w:t>
      </w:r>
      <w:r>
        <w:rPr>
          <w:rStyle w:val="16"/>
          <w:rFonts w:hint="eastAsia" w:ascii="Times New Roman" w:hAnsi="Times New Roman" w:cs="Times New Roman"/>
          <w:bCs/>
          <w:kern w:val="44"/>
          <w:highlight w:val="none"/>
          <w:lang w:val="en-US" w:eastAsia="zh-CN"/>
        </w:rPr>
        <w:t>.</w:t>
      </w:r>
      <w:r>
        <w:rPr>
          <w:rFonts w:hint="default" w:ascii="Times New Roman" w:hAnsi="Times New Roman" w:cs="Times New Roman"/>
          <w:highlight w:val="none"/>
        </w:rPr>
        <w:tab/>
      </w:r>
      <w:r>
        <w:rPr>
          <w:rFonts w:hint="eastAsia" w:ascii="Times New Roman" w:hAnsi="Times New Roman" w:eastAsia="仿宋" w:cs="Times New Roman"/>
          <w:kern w:val="2"/>
          <w:sz w:val="28"/>
          <w:szCs w:val="28"/>
          <w:highlight w:val="none"/>
          <w:lang w:val="en-US" w:eastAsia="zh-CN" w:bidi="ar-SA"/>
        </w:rPr>
        <w:t>1</w:t>
      </w:r>
      <w:r>
        <w:rPr>
          <w:rFonts w:hint="eastAsia" w:ascii="Times New Roman" w:hAnsi="Times New Roman" w:cs="Times New Roman"/>
          <w:kern w:val="2"/>
          <w:sz w:val="28"/>
          <w:szCs w:val="28"/>
          <w:highlight w:val="none"/>
          <w:lang w:val="en-US" w:eastAsia="zh-CN" w:bidi="ar-SA"/>
        </w:rPr>
        <w:t>6</w:t>
      </w:r>
      <w:r>
        <w:rPr>
          <w:rFonts w:hint="default" w:ascii="Times New Roman" w:hAnsi="Times New Roman" w:eastAsia="仿宋" w:cs="Times New Roman"/>
          <w:kern w:val="2"/>
          <w:sz w:val="28"/>
          <w:szCs w:val="28"/>
          <w:highlight w:val="none"/>
          <w:lang w:val="en-US" w:eastAsia="zh-CN" w:bidi="ar-SA"/>
        </w:rPr>
        <w:fldChar w:fldCharType="end"/>
      </w: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"_Toc15396618" </w:instrText>
      </w:r>
      <w:r>
        <w:rPr>
          <w:rFonts w:hint="default" w:ascii="Times New Roman" w:hAnsi="Times New Roman" w:cs="Times New Roman"/>
          <w:highlight w:val="none"/>
        </w:rPr>
        <w:fldChar w:fldCharType="separate"/>
      </w:r>
      <w:r>
        <w:rPr>
          <w:rStyle w:val="16"/>
          <w:rFonts w:hint="default" w:ascii="Times New Roman" w:hAnsi="Times New Roman" w:cs="Times New Roman"/>
          <w:highlight w:val="none"/>
        </w:rPr>
        <w:t>第</w:t>
      </w:r>
      <w:r>
        <w:rPr>
          <w:rStyle w:val="16"/>
          <w:rFonts w:hint="eastAsia" w:ascii="Times New Roman" w:hAnsi="Times New Roman" w:cs="Times New Roman"/>
          <w:highlight w:val="none"/>
          <w:lang w:eastAsia="zh-CN"/>
        </w:rPr>
        <w:t>四</w:t>
      </w:r>
      <w:r>
        <w:rPr>
          <w:rStyle w:val="16"/>
          <w:rFonts w:hint="default" w:ascii="Times New Roman" w:hAnsi="Times New Roman" w:cs="Times New Roman"/>
          <w:bCs/>
          <w:kern w:val="44"/>
          <w:highlight w:val="none"/>
        </w:rPr>
        <w:t>部分 附表</w:t>
      </w:r>
      <w:r>
        <w:rPr>
          <w:rFonts w:hint="default" w:ascii="Times New Roman" w:hAnsi="Times New Roman" w:cs="Times New Roman"/>
          <w:highlight w:val="none"/>
        </w:rPr>
        <w:tab/>
      </w:r>
      <w:r>
        <w:rPr>
          <w:rFonts w:hint="eastAsia" w:ascii="Times New Roman" w:hAnsi="Times New Roman" w:cs="Times New Roman"/>
          <w:highlight w:val="none"/>
          <w:lang w:val="en-US" w:eastAsia="zh-CN"/>
        </w:rPr>
        <w:t>1</w:t>
      </w:r>
      <w:r>
        <w:rPr>
          <w:rFonts w:hint="default" w:ascii="Times New Roman" w:hAnsi="Times New Roman" w:eastAsia="仿宋" w:cs="Times New Roman"/>
          <w:kern w:val="2"/>
          <w:sz w:val="28"/>
          <w:szCs w:val="28"/>
          <w:highlight w:val="none"/>
          <w:lang w:val="en-US" w:eastAsia="zh-CN" w:bidi="ar-SA"/>
        </w:rPr>
        <w:fldChar w:fldCharType="begin"/>
      </w:r>
      <w:r>
        <w:rPr>
          <w:rFonts w:hint="default" w:ascii="Times New Roman" w:hAnsi="Times New Roman" w:eastAsia="仿宋" w:cs="Times New Roman"/>
          <w:kern w:val="2"/>
          <w:sz w:val="28"/>
          <w:szCs w:val="28"/>
          <w:highlight w:val="none"/>
          <w:lang w:val="en-US" w:eastAsia="zh-CN" w:bidi="ar-SA"/>
        </w:rPr>
        <w:instrText xml:space="preserve"> PAGEREF _Toc15396618 \h </w:instrText>
      </w:r>
      <w:r>
        <w:rPr>
          <w:rFonts w:hint="default" w:ascii="Times New Roman" w:hAnsi="Times New Roman" w:eastAsia="仿宋" w:cs="Times New Roman"/>
          <w:kern w:val="2"/>
          <w:sz w:val="28"/>
          <w:szCs w:val="28"/>
          <w:highlight w:val="none"/>
          <w:lang w:val="en-US" w:eastAsia="zh-CN" w:bidi="ar-SA"/>
        </w:rPr>
        <w:fldChar w:fldCharType="separate"/>
      </w:r>
      <w:r>
        <w:rPr>
          <w:rFonts w:hint="eastAsia"/>
          <w:b/>
          <w:lang w:val="en-US" w:eastAsia="zh-CN"/>
        </w:rPr>
        <w:t>8</w:t>
      </w:r>
      <w:r>
        <w:rPr>
          <w:rFonts w:hint="default" w:ascii="Times New Roman" w:hAnsi="Times New Roman" w:eastAsia="仿宋" w:cs="Times New Roman"/>
          <w:kern w:val="2"/>
          <w:sz w:val="28"/>
          <w:szCs w:val="28"/>
          <w:highlight w:val="none"/>
          <w:lang w:val="en-US" w:eastAsia="zh-CN" w:bidi="ar-SA"/>
        </w:rPr>
        <w:fldChar w:fldCharType="end"/>
      </w:r>
      <w:r>
        <w:rPr>
          <w:rFonts w:hint="default" w:ascii="Times New Roman" w:hAnsi="Times New Roman" w:eastAsia="仿宋" w:cs="Times New Roman"/>
          <w:kern w:val="2"/>
          <w:sz w:val="28"/>
          <w:szCs w:val="28"/>
          <w:highlight w:val="none"/>
          <w:lang w:val="en-US" w:eastAsia="zh-CN" w:bidi="ar-SA"/>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"_Toc15396619"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"_Toc15396620"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收入</w:t>
      </w:r>
      <w:r>
        <w:rPr>
          <w:rStyle w:val="16"/>
          <w:rFonts w:hint="eastAsia" w:eastAsia="仿宋" w:cs="Times New Roman"/>
          <w:sz w:val="28"/>
          <w:szCs w:val="28"/>
          <w:highlight w:val="none"/>
          <w:lang w:eastAsia="zh-CN"/>
        </w:rPr>
        <w:t>决算</w:t>
      </w:r>
      <w:r>
        <w:rPr>
          <w:rStyle w:val="16"/>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"_Toc15396621"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支出</w:t>
      </w:r>
      <w:r>
        <w:rPr>
          <w:rStyle w:val="16"/>
          <w:rFonts w:hint="eastAsia" w:eastAsia="仿宋" w:cs="Times New Roman"/>
          <w:sz w:val="28"/>
          <w:szCs w:val="28"/>
          <w:highlight w:val="none"/>
          <w:lang w:eastAsia="zh-CN"/>
        </w:rPr>
        <w:t>决算</w:t>
      </w:r>
      <w:r>
        <w:rPr>
          <w:rStyle w:val="16"/>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"_Toc15396622"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财政拨款收入支出决算总表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_Toc15396622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五、</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"_Toc15396623"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8"/>
          <w:szCs w:val="28"/>
          <w:highlight w:val="none"/>
        </w:rPr>
        <w:t>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_Toc15396623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六、</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"_Toc15396624"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一般公共预算财政拨款支出决算表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_Toc15396624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七、</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"_Toc15396625"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一般公共预算财政拨款支出决算明细表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_Toc15396625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八、</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"_Toc15396626"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一般公共预算财政拨款基本支出决算表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_Toc15396626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九、</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"_Toc15396627"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一般公共预算财政拨款项目支出决算表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_Toc15396627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"_Toc15396628"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一般公共预算财政拨款“三公”经费支出决算表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_Toc15396628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"_Toc15396629"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政府性基金预算财政拨款收入支出决算表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"_Toc15396630"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政府性基金预算财政拨款“三公”经费支出决算表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8"/>
          <w:szCs w:val="28"/>
          <w:highlight w:val="none"/>
        </w:rPr>
        <w:t>十三、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"_Toc15396631" </w:instrText>
      </w:r>
      <w:r>
        <w:rPr>
          <w:rFonts w:hint="default" w:ascii="Times New Roman" w:hAnsi="Times New Roman" w:cs="Times New Roman"/>
          <w:highlight w:val="none"/>
        </w:rPr>
        <w:fldChar w:fldCharType="separate"/>
      </w:r>
      <w:r>
        <w:rPr>
          <w:rStyle w:val="16"/>
          <w:rFonts w:hint="default" w:ascii="Times New Roman" w:hAnsi="Times New Roman" w:eastAsia="仿宋" w:cs="Times New Roman"/>
          <w:sz w:val="28"/>
          <w:szCs w:val="28"/>
          <w:highlight w:val="none"/>
        </w:rPr>
        <w:t>国有资本经营预算支出决算表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ageBreakBefore w:val="0"/>
        <w:widowControl/>
        <w:kinsoku/>
        <w:wordWrap/>
        <w:overflowPunct/>
        <w:topLinePunct w:val="0"/>
        <w:bidi w:val="0"/>
        <w:spacing w:line="560" w:lineRule="exact"/>
        <w:jc w:val="left"/>
        <w:rPr>
          <w:rFonts w:hint="default" w:eastAsia="仿宋" w:cs="Times New Roman"/>
          <w:color w:val="000000"/>
          <w:sz w:val="24"/>
          <w:highlight w:val="none"/>
          <w:lang w:val="en-US" w:eastAsia="zh-CN"/>
        </w:rPr>
      </w:pPr>
      <w:r>
        <w:rPr>
          <w:rFonts w:hint="default" w:ascii="Times New Roman" w:hAnsi="Times New Roman" w:eastAsia="仿宋" w:cs="Times New Roman"/>
          <w:color w:val="000000"/>
          <w:sz w:val="24"/>
          <w:highlight w:val="none"/>
        </w:rPr>
        <w:fldChar w:fldCharType="end"/>
      </w:r>
      <w:r>
        <w:rPr>
          <w:rFonts w:hint="eastAsia" w:eastAsia="仿宋" w:cs="Times New Roman"/>
          <w:color w:val="000000"/>
          <w:sz w:val="24"/>
          <w:highlight w:val="none"/>
          <w:lang w:val="en-US" w:eastAsia="zh-CN"/>
        </w:rPr>
        <w:t xml:space="preserve">                                                 </w:t>
      </w:r>
      <w:bookmarkStart w:id="12" w:name="_Toc15396599"/>
      <w:bookmarkStart w:id="13" w:name="_Toc15377196"/>
    </w:p>
    <w:p>
      <w:pPr>
        <w:pStyle w:val="2"/>
        <w:pageBreakBefore w:val="0"/>
        <w:kinsoku/>
        <w:wordWrap/>
        <w:overflowPunct/>
        <w:topLinePunct w:val="0"/>
        <w:bidi w:val="0"/>
        <w:spacing w:before="0" w:line="560" w:lineRule="exact"/>
        <w:jc w:val="center"/>
        <w:rPr>
          <w:rStyle w:val="25"/>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5"/>
          <w:rFonts w:hint="default" w:ascii="Times New Roman" w:hAnsi="Times New Roman" w:eastAsia="黑体" w:cs="Times New Roman"/>
          <w:b w:val="0"/>
          <w:bCs w:val="0"/>
        </w:rPr>
        <w:t>部门概况</w:t>
      </w:r>
      <w:bookmarkEnd w:id="12"/>
      <w:bookmarkEnd w:id="13"/>
    </w:p>
    <w:p>
      <w:pPr>
        <w:pageBreakBefore w:val="0"/>
        <w:widowControl/>
        <w:kinsoku/>
        <w:wordWrap/>
        <w:overflowPunct/>
        <w:topLinePunct w:val="0"/>
        <w:bidi w:val="0"/>
        <w:spacing w:line="560" w:lineRule="exact"/>
        <w:jc w:val="left"/>
        <w:rPr>
          <w:rFonts w:hint="default" w:ascii="Times New Roman" w:hAnsi="Times New Roman" w:eastAsia="黑体" w:cs="Times New Roman"/>
          <w:color w:val="000000"/>
          <w:sz w:val="32"/>
          <w:szCs w:val="32"/>
        </w:rPr>
      </w:pPr>
    </w:p>
    <w:p>
      <w:pPr>
        <w:pStyle w:val="3"/>
        <w:pageBreakBefore w:val="0"/>
        <w:widowControl w:val="0"/>
        <w:numPr>
          <w:ilvl w:val="0"/>
          <w:numId w:val="1"/>
        </w:numPr>
        <w:kinsoku/>
        <w:wordWrap/>
        <w:overflowPunct/>
        <w:topLinePunct w:val="0"/>
        <w:autoSpaceDE/>
        <w:autoSpaceDN/>
        <w:bidi w:val="0"/>
        <w:spacing w:before="0" w:line="560" w:lineRule="exact"/>
        <w:ind w:firstLine="640" w:firstLineChars="200"/>
        <w:textAlignment w:val="auto"/>
        <w:rPr>
          <w:rStyle w:val="26"/>
          <w:rFonts w:hint="default" w:ascii="Times New Roman" w:hAnsi="Times New Roman" w:eastAsia="黑体" w:cs="Times New Roman"/>
          <w:b w:val="0"/>
          <w:bCs w:val="0"/>
        </w:rPr>
      </w:pPr>
      <w:bookmarkStart w:id="14" w:name="_Toc15377197"/>
      <w:bookmarkStart w:id="15" w:name="_Toc15396600"/>
      <w:r>
        <w:rPr>
          <w:rFonts w:hint="default" w:ascii="Times New Roman" w:hAnsi="Times New Roman" w:eastAsia="黑体" w:cs="Times New Roman"/>
          <w:b w:val="0"/>
          <w:color w:val="000000"/>
        </w:rPr>
        <w:t>基</w:t>
      </w:r>
      <w:r>
        <w:rPr>
          <w:rStyle w:val="26"/>
          <w:rFonts w:hint="default" w:ascii="Times New Roman" w:hAnsi="Times New Roman" w:eastAsia="黑体" w:cs="Times New Roman"/>
          <w:b w:val="0"/>
          <w:bCs w:val="0"/>
        </w:rPr>
        <w:t>本职能及主要工作</w:t>
      </w:r>
      <w:bookmarkEnd w:id="14"/>
      <w:bookmarkEnd w:id="15"/>
      <w:bookmarkStart w:id="16" w:name="_Toc15378445"/>
      <w:bookmarkStart w:id="17" w:name="_Toc15377198"/>
    </w:p>
    <w:p>
      <w:pPr>
        <w:numPr>
          <w:ilvl w:val="0"/>
          <w:numId w:val="0"/>
        </w:numPr>
        <w:rPr>
          <w:rFonts w:hint="default" w:eastAsia="宋体"/>
          <w:lang w:val="en-US" w:eastAsia="zh-CN"/>
        </w:rPr>
      </w:pPr>
      <w:r>
        <w:rPr>
          <w:rFonts w:hint="eastAsia"/>
          <w:lang w:val="en-US" w:eastAsia="zh-CN"/>
        </w:rPr>
        <w:t xml:space="preserve">  </w:t>
      </w:r>
      <w:r>
        <w:rPr>
          <w:rStyle w:val="26"/>
          <w:rFonts w:hint="eastAsia" w:ascii="Times New Roman" w:hAnsi="Times New Roman" w:eastAsia="黑体" w:cs="Times New Roman"/>
          <w:b w:val="0"/>
          <w:bCs w:val="0"/>
          <w:lang w:val="en-US" w:eastAsia="zh-CN" w:bidi="ar-SA"/>
        </w:rPr>
        <w:t xml:space="preserve">  （一）基本职能</w:t>
      </w:r>
    </w:p>
    <w:p>
      <w:pPr>
        <w:pStyle w:val="6"/>
        <w:keepNext w:val="0"/>
        <w:keepLines w:val="0"/>
        <w:pageBreakBefore w:val="0"/>
        <w:widowControl w:val="0"/>
        <w:kinsoku/>
        <w:wordWrap/>
        <w:overflowPunct/>
        <w:topLinePunct w:val="0"/>
        <w:autoSpaceDE/>
        <w:autoSpaceDN/>
        <w:bidi w:val="0"/>
        <w:adjustRightInd w:val="0"/>
        <w:snapToGrid w:val="0"/>
        <w:spacing w:before="0" w:beforeLines="0"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平昌县医疗保障局成立于2019年2月，是平昌县人民政府工作部门，为正科级。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平昌县医疗保障局贯彻落实党中央、省委、市委关于医疗保障工作的方针政策和决策部署，在履行职责过程中坚持和加强党对医疗保障工作的集中统一领导。主要职责是：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贯彻执行国家和省、市关于医疗保险、生育保险、医疗救助等医疗保障的法律法规、规划和标准，拟订全县医疗保障事业发展规划、政策和标准，并组织实施和监督检查。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组织拟定并实施医疗保障基金监督管理制度，建立健全医疗保障基金安全防控机制，监督全县医疗保障基金运行管理。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贯彻执行国家和省、市医疗保障筹资和待遇政策，建立健全与筹资水平相适应的待遇调整机制。组织建立并实施长期护理保险制度改革。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组织实施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监督管理和执行药品、医用耗材、医疗服务项目、医疗服务设施等医疗保障目录和支付标准。监督实施药品、医用耗材的招标采购政策，负责药品、医用耗材招标采购监督。组织药品、医用耗材招标采购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贯彻执行定点医药机构协议和支付管理办法，组织拟定并实施全县定点医药机构补充协议和支付管理办法，推进医疗保障基金支付方式改革，指导全县医疗保障定点医药机构管理。建立健全医疗保障信用评价体系和信息披露制度，监督管理定点医药机构医疗服务行为和医疗费用，依法查处医疗保障领域违法违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负责全县医疗保障经办服务管理体系建设。组织实施和完善异地就医管理和费用结算政策。建立健全医疗保障关系转移接续制度。监督管理并指导全县医保经办服务工作。开展医疗保障领域对外合作交流。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负责规划并实施全县医疗保障信息化建设。组织开展医疗保障信息化管理和应用。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完成县委县政府交办的其他任务。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与县卫生健康局部门的有关职责分工。两部门在医疗、医保、医药等方面加强制度、政策衔接，建立沟通协商机制，协同推进“三医联动”改革，提高医疗资源使用效率和医疗保障水平。</w:t>
      </w:r>
      <w:bookmarkEnd w:id="16"/>
      <w:bookmarkEnd w:id="17"/>
      <w:bookmarkStart w:id="18" w:name="_Toc15378446"/>
      <w:bookmarkStart w:id="19" w:name="_Toc15377199"/>
    </w:p>
    <w:p>
      <w:pPr>
        <w:pStyle w:val="6"/>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（二）201</w:t>
      </w:r>
      <w:r>
        <w:rPr>
          <w:rFonts w:hint="eastAsia" w:ascii="Times New Roman" w:eastAsia="楷体_GB2312" w:cs="Times New Roman"/>
          <w:b/>
          <w:bCs w:val="0"/>
          <w:color w:val="000000"/>
          <w:sz w:val="32"/>
          <w:szCs w:val="32"/>
          <w:lang w:val="en-US" w:eastAsia="zh-CN"/>
        </w:rPr>
        <w:t>9</w:t>
      </w:r>
      <w:r>
        <w:rPr>
          <w:rFonts w:hint="default" w:ascii="Times New Roman" w:hAnsi="Times New Roman" w:eastAsia="楷体_GB2312" w:cs="Times New Roman"/>
          <w:b/>
          <w:bCs w:val="0"/>
          <w:color w:val="000000"/>
          <w:sz w:val="32"/>
          <w:szCs w:val="32"/>
        </w:rPr>
        <w:t>年重点工作完成情况。</w:t>
      </w:r>
      <w:bookmarkEnd w:id="18"/>
      <w:bookmarkEnd w:id="19"/>
    </w:p>
    <w:p>
      <w:pPr>
        <w:pStyle w:val="30"/>
        <w:numPr>
          <w:ilvl w:val="0"/>
          <w:numId w:val="2"/>
        </w:numPr>
        <w:spacing w:line="560" w:lineRule="exact"/>
        <w:ind w:firstLine="643" w:firstLineChars="200"/>
        <w:jc w:val="both"/>
        <w:rPr>
          <w:rFonts w:hint="eastAsia" w:ascii="仿宋_GB2312" w:hAnsi="仿宋_GB2312" w:eastAsia="仿宋_GB2312" w:cs="仿宋_GB2312"/>
          <w:bCs/>
          <w:kern w:val="2"/>
          <w:sz w:val="32"/>
          <w:szCs w:val="32"/>
          <w:lang w:val="en-US" w:eastAsia="zh-CN" w:bidi="ar-SA"/>
        </w:rPr>
      </w:pPr>
      <w:r>
        <w:rPr>
          <w:rFonts w:hint="eastAsia" w:ascii="Calibri" w:hAnsi="楷体" w:eastAsia="楷体" w:cs="楷体"/>
          <w:b/>
          <w:color w:val="000000"/>
          <w:sz w:val="32"/>
          <w:szCs w:val="32"/>
        </w:rPr>
        <w:t>扩面参保持续推进。</w:t>
      </w:r>
      <w:r>
        <w:rPr>
          <w:rFonts w:hint="eastAsia" w:ascii="仿宋_GB2312" w:hAnsi="仿宋_GB2312" w:eastAsia="仿宋_GB2312" w:cs="仿宋_GB2312"/>
          <w:bCs/>
          <w:kern w:val="2"/>
          <w:sz w:val="32"/>
          <w:szCs w:val="32"/>
          <w:lang w:val="en-US" w:eastAsia="zh-CN" w:bidi="ar-SA"/>
        </w:rPr>
        <w:t>2019年，全县医保统征扩面深入推进，城乡居民基本医疗保险参保790440人，参保率为98.44%，全县基金征收达5.8亿元，基本实现参保全覆盖。困难人群100%参保，其中建档立卡贫困人口131230人由财政全额代缴，重度残疾、城镇三无、农村五保、孤儿、优抚对象等22535人由民政全额代缴。</w:t>
      </w:r>
    </w:p>
    <w:p>
      <w:pPr>
        <w:numPr>
          <w:ilvl w:val="0"/>
          <w:numId w:val="2"/>
        </w:numPr>
        <w:tabs>
          <w:tab w:val="left" w:pos="1155"/>
        </w:tabs>
        <w:snapToGrid w:val="0"/>
        <w:spacing w:line="560" w:lineRule="exact"/>
        <w:ind w:left="0" w:leftChars="0" w:firstLine="643" w:firstLineChars="200"/>
        <w:rPr>
          <w:rFonts w:hint="default" w:ascii="Calibri" w:hAnsi="仿宋" w:eastAsia="仿宋" w:cs="仿宋"/>
          <w:color w:val="000000"/>
          <w:kern w:val="0"/>
          <w:sz w:val="32"/>
          <w:szCs w:val="32"/>
          <w:lang w:val="en-US" w:eastAsia="zh-CN"/>
        </w:rPr>
      </w:pPr>
      <w:r>
        <w:rPr>
          <w:rFonts w:hint="eastAsia" w:ascii="Calibri" w:hAnsi="楷体" w:eastAsia="楷体" w:cs="楷体"/>
          <w:b/>
          <w:color w:val="000000"/>
          <w:sz w:val="32"/>
          <w:szCs w:val="32"/>
        </w:rPr>
        <w:t>医保待遇稳中有升。</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月，全县职工住院</w:t>
      </w:r>
      <w:r>
        <w:rPr>
          <w:rFonts w:hint="eastAsia" w:ascii="仿宋_GB2312" w:hAnsi="仿宋_GB2312" w:eastAsia="仿宋_GB2312" w:cs="仿宋_GB2312"/>
          <w:bCs/>
          <w:sz w:val="32"/>
          <w:szCs w:val="32"/>
          <w:lang w:val="en-US" w:eastAsia="zh-CN"/>
        </w:rPr>
        <w:t>13835</w:t>
      </w:r>
      <w:r>
        <w:rPr>
          <w:rFonts w:hint="eastAsia" w:ascii="仿宋_GB2312" w:hAnsi="仿宋_GB2312" w:eastAsia="仿宋_GB2312" w:cs="仿宋_GB2312"/>
          <w:bCs/>
          <w:sz w:val="32"/>
          <w:szCs w:val="32"/>
        </w:rPr>
        <w:t>人次，发生住院总费用</w:t>
      </w:r>
      <w:r>
        <w:rPr>
          <w:rFonts w:hint="eastAsia" w:ascii="仿宋_GB2312" w:hAnsi="仿宋_GB2312" w:eastAsia="仿宋_GB2312" w:cs="仿宋_GB2312"/>
          <w:bCs/>
          <w:sz w:val="32"/>
          <w:szCs w:val="32"/>
          <w:lang w:val="en-US" w:eastAsia="zh-CN"/>
        </w:rPr>
        <w:t>10703</w:t>
      </w:r>
      <w:r>
        <w:rPr>
          <w:rFonts w:hint="eastAsia" w:ascii="仿宋_GB2312" w:hAnsi="仿宋_GB2312" w:eastAsia="仿宋_GB2312" w:cs="仿宋_GB2312"/>
          <w:bCs/>
          <w:sz w:val="32"/>
          <w:szCs w:val="32"/>
        </w:rPr>
        <w:t>万元，职工医疗保险基金支出共</w:t>
      </w:r>
      <w:r>
        <w:rPr>
          <w:rFonts w:hint="eastAsia" w:ascii="仿宋_GB2312" w:hAnsi="仿宋_GB2312" w:eastAsia="仿宋_GB2312" w:cs="仿宋_GB2312"/>
          <w:bCs/>
          <w:sz w:val="32"/>
          <w:szCs w:val="32"/>
          <w:lang w:val="en-US" w:eastAsia="zh-CN"/>
        </w:rPr>
        <w:t>8232</w:t>
      </w:r>
      <w:r>
        <w:rPr>
          <w:rFonts w:hint="eastAsia" w:ascii="仿宋_GB2312" w:hAnsi="仿宋_GB2312" w:eastAsia="仿宋_GB2312" w:cs="仿宋_GB2312"/>
          <w:bCs/>
          <w:sz w:val="32"/>
          <w:szCs w:val="32"/>
        </w:rPr>
        <w:t>万元，住院实际报销比</w:t>
      </w:r>
      <w:r>
        <w:rPr>
          <w:rFonts w:hint="eastAsia" w:ascii="仿宋_GB2312" w:hAnsi="仿宋_GB2312" w:eastAsia="仿宋_GB2312" w:cs="仿宋_GB2312"/>
          <w:bCs/>
          <w:sz w:val="32"/>
          <w:szCs w:val="32"/>
          <w:lang w:val="en-US" w:eastAsia="zh-CN"/>
        </w:rPr>
        <w:t>76.91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住院人次同比</w:t>
      </w:r>
      <w:r>
        <w:rPr>
          <w:rFonts w:hint="eastAsia" w:ascii="仿宋_GB2312" w:hAnsi="仿宋_GB2312" w:eastAsia="仿宋_GB2312" w:cs="仿宋_GB2312"/>
          <w:bCs/>
          <w:sz w:val="32"/>
          <w:szCs w:val="32"/>
          <w:lang w:val="en-US" w:eastAsia="zh-CN"/>
        </w:rPr>
        <w:t>2018年增长7%，基金支出同比2018年增长2%。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城乡居民住院158424人次，发生总费用83171万元，基金支付</w:t>
      </w:r>
      <w:r>
        <w:rPr>
          <w:rFonts w:hint="eastAsia" w:ascii="仿宋_GB2312" w:hAnsi="仿宋_GB2312" w:eastAsia="仿宋_GB2312" w:cs="仿宋_GB2312"/>
          <w:bCs/>
          <w:sz w:val="32"/>
          <w:szCs w:val="32"/>
          <w:lang w:val="en-US" w:eastAsia="zh-CN"/>
        </w:rPr>
        <w:t>45577</w:t>
      </w:r>
      <w:r>
        <w:rPr>
          <w:rFonts w:hint="eastAsia" w:ascii="仿宋_GB2312" w:hAnsi="仿宋_GB2312" w:eastAsia="仿宋_GB2312" w:cs="仿宋_GB2312"/>
          <w:bCs/>
          <w:sz w:val="32"/>
          <w:szCs w:val="32"/>
        </w:rPr>
        <w:t>万元,医疗费用报销比例达</w:t>
      </w:r>
      <w:r>
        <w:rPr>
          <w:rFonts w:hint="eastAsia" w:ascii="仿宋_GB2312" w:hAnsi="仿宋_GB2312" w:eastAsia="仿宋_GB2312" w:cs="仿宋_GB2312"/>
          <w:bCs/>
          <w:sz w:val="32"/>
          <w:szCs w:val="32"/>
          <w:lang w:val="en-US" w:eastAsia="zh-CN"/>
        </w:rPr>
        <w:t>54.8</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住院人次同比</w:t>
      </w:r>
      <w:r>
        <w:rPr>
          <w:rFonts w:hint="eastAsia" w:ascii="仿宋_GB2312" w:hAnsi="仿宋_GB2312" w:eastAsia="仿宋_GB2312" w:cs="仿宋_GB2312"/>
          <w:bCs/>
          <w:sz w:val="32"/>
          <w:szCs w:val="32"/>
          <w:lang w:val="en-US" w:eastAsia="zh-CN"/>
        </w:rPr>
        <w:t>2018年增长12.15%，基金支出同比2018年增长10.30%。</w:t>
      </w:r>
    </w:p>
    <w:p>
      <w:pPr>
        <w:numPr>
          <w:ilvl w:val="0"/>
          <w:numId w:val="2"/>
        </w:numPr>
        <w:tabs>
          <w:tab w:val="left" w:pos="1155"/>
        </w:tabs>
        <w:snapToGrid w:val="0"/>
        <w:spacing w:line="560" w:lineRule="exact"/>
        <w:ind w:left="0" w:leftChars="0" w:firstLine="643" w:firstLineChars="200"/>
        <w:rPr>
          <w:rFonts w:hint="eastAsia" w:ascii="仿宋_GB2312" w:hAnsi="仿宋_GB2312" w:eastAsia="仿宋_GB2312" w:cs="仿宋_GB2312"/>
          <w:bCs/>
          <w:sz w:val="32"/>
          <w:szCs w:val="32"/>
          <w:lang w:val="en-US" w:eastAsia="zh-CN"/>
        </w:rPr>
      </w:pPr>
      <w:r>
        <w:rPr>
          <w:rFonts w:hint="eastAsia" w:ascii="Calibri" w:hAnsi="楷体" w:eastAsia="楷体" w:cs="楷体"/>
          <w:b/>
          <w:bCs/>
          <w:color w:val="000000"/>
          <w:sz w:val="32"/>
          <w:szCs w:val="32"/>
        </w:rPr>
        <w:t>医保改革逐步实施。</w:t>
      </w:r>
      <w:r>
        <w:rPr>
          <w:rFonts w:hint="eastAsia" w:ascii="仿宋_GB2312" w:hAnsi="仿宋_GB2312" w:eastAsia="仿宋_GB2312" w:cs="仿宋_GB2312"/>
          <w:bCs/>
          <w:sz w:val="32"/>
          <w:szCs w:val="32"/>
          <w:lang w:val="en-US" w:eastAsia="zh-CN"/>
        </w:rPr>
        <w:t>一是逐步推进建立以总额付费为主，按病种付费、床日付费、项目付费的复合型付费方式。二是全面落地落实36种国家谈判药品和17种抗癌药品纳入医保报销。三是建立健全了大病补充医疗保险制度，减轻了参保人员大病医疗费用负担，特别是切实解决了因病致贫的问题。四是探索实行紧密型医联体医保总额控制付费办法，将开展家庭医生签约服务的基层医疗机构纳入门诊特殊疾病定点机构管理，助推医疗事业高质量健康发展。五是在传统“两定”监管模式基础上，大力推动“三医联动”。</w:t>
      </w:r>
    </w:p>
    <w:p>
      <w:pPr>
        <w:numPr>
          <w:ilvl w:val="0"/>
          <w:numId w:val="2"/>
        </w:numPr>
        <w:spacing w:line="560" w:lineRule="exact"/>
        <w:ind w:left="0" w:leftChars="0" w:firstLine="643" w:firstLineChars="200"/>
        <w:rPr>
          <w:rFonts w:hint="eastAsia" w:ascii="Calibri" w:hAnsi="仿宋_GB2312" w:eastAsia="仿宋_GB2312" w:cs="仿宋_GB2312"/>
          <w:color w:val="000000"/>
          <w:sz w:val="32"/>
          <w:szCs w:val="32"/>
        </w:rPr>
      </w:pPr>
      <w:r>
        <w:rPr>
          <w:rFonts w:hint="eastAsia" w:ascii="Calibri" w:hAnsi="楷体" w:eastAsia="楷体" w:cs="楷体"/>
          <w:b/>
          <w:color w:val="000000"/>
          <w:sz w:val="32"/>
          <w:szCs w:val="32"/>
          <w:lang w:val="en-US" w:eastAsia="zh-CN"/>
        </w:rPr>
        <w:t xml:space="preserve"> </w:t>
      </w:r>
      <w:r>
        <w:rPr>
          <w:rFonts w:hint="eastAsia" w:ascii="Calibri" w:hAnsi="楷体" w:eastAsia="楷体" w:cs="楷体"/>
          <w:b/>
          <w:color w:val="000000"/>
          <w:sz w:val="32"/>
          <w:szCs w:val="32"/>
        </w:rPr>
        <w:t>两定管理持续强化。</w:t>
      </w:r>
      <w:r>
        <w:rPr>
          <w:rFonts w:hint="eastAsia" w:ascii="仿宋_GB2312" w:hAnsi="仿宋_GB2312" w:eastAsia="仿宋_GB2312" w:cs="仿宋_GB2312"/>
          <w:bCs/>
          <w:sz w:val="32"/>
          <w:szCs w:val="32"/>
          <w:lang w:val="en-US" w:eastAsia="zh-CN"/>
        </w:rPr>
        <w:t>一是强化部门联动。与县卫健局等单位部门主动对接，建立医保工作联席会议机制。二是强化协议管理。在市医保服务协议格式文本基础上，简化评估签约程序、细化医保补充协议内容，完成了76家定点医疗机构、319家定点药店、诊所医保服务协议签订工作。三是强化业务培训。在全县积极开展定点医疗机构医保工作人员、医护人员业务政策培训。四是强化警示教育。对县域内公立医疗机构、民营医疗机构、诊所药店负责人分别进行监管工作集中约谈2次，剖析医保领域典型案例，形成震慑效应。五是强化日常监管。对全县各定点医药机构开展联合检查工作，对检查中存在违反服务协议的行为进行相应处理，共发出整改通报19家，暂停药店服务协议1家，延长暂停药店服务协议2家；开展“打击欺诈骗保 维护基金安全”集中宣传月活动，建立部门联动机制，成立四个小组，分片分项包干进行宣传和督导，共分发打击欺诈骗保宣传海报1200余份，折页30000余份，宣传覆盖面达100%</w:t>
      </w:r>
      <w:r>
        <w:rPr>
          <w:rFonts w:hint="eastAsia" w:ascii="Calibri" w:hAnsi="仿宋" w:eastAsia="仿宋" w:cs="仿宋"/>
          <w:color w:val="000000"/>
          <w:kern w:val="0"/>
          <w:sz w:val="32"/>
          <w:szCs w:val="32"/>
        </w:rPr>
        <w:t>。</w:t>
      </w:r>
    </w:p>
    <w:p>
      <w:pPr>
        <w:numPr>
          <w:ilvl w:val="0"/>
          <w:numId w:val="2"/>
        </w:numPr>
        <w:spacing w:line="560" w:lineRule="exact"/>
        <w:ind w:left="0" w:leftChars="0" w:firstLine="643" w:firstLineChars="200"/>
        <w:rPr>
          <w:rFonts w:hint="eastAsia" w:ascii="仿宋_GB2312" w:hAnsi="仿宋_GB2312" w:eastAsia="仿宋_GB2312" w:cs="仿宋_GB2312"/>
          <w:bCs/>
          <w:sz w:val="32"/>
          <w:szCs w:val="32"/>
          <w:lang w:val="en-US" w:eastAsia="zh-CN"/>
        </w:rPr>
      </w:pPr>
      <w:r>
        <w:rPr>
          <w:rFonts w:hint="eastAsia" w:ascii="Calibri" w:hAnsi="楷体" w:eastAsia="楷体" w:cs="楷体"/>
          <w:b/>
          <w:bCs/>
          <w:color w:val="000000"/>
          <w:sz w:val="32"/>
          <w:szCs w:val="32"/>
        </w:rPr>
        <w:t>医保基金监管有效。</w:t>
      </w:r>
      <w:r>
        <w:rPr>
          <w:rFonts w:hint="eastAsia" w:ascii="仿宋_GB2312" w:hAnsi="仿宋_GB2312" w:eastAsia="仿宋_GB2312" w:cs="仿宋_GB2312"/>
          <w:bCs/>
          <w:sz w:val="32"/>
          <w:szCs w:val="32"/>
          <w:lang w:val="en-US" w:eastAsia="zh-CN"/>
        </w:rPr>
        <w:t>对全县71家定点医院进行了医保基金专项治理检查，对存虚计费、超物价收费、置换项目收费、药品进销存不符等违规收费进行了处理，追回医保基金299.13万元；成功收回原平昌光明医院骗保基金866576.45元（其中：公安局扣押赃款674885.53元，法院退缴赃款191690.92元）；日常监督查房在床率低于管控指标1家定点医院处违约金52500元；例行监督检查发现2家定点医院存在虚计费、超物价收费、五保老人住院困难减免等违反医保服务协收回医保基金80591.61元，处违约金109671.57元；查处1家定点零售药店违规摆放销售生活用品收回本金180元，处3倍违约金540元，并暂停服务协议3个月，约谈法人。接受群众监督举报，打击欺诈骗保调查处理外伤隐瞒受原因个人违规报帐7件，追回医保基金66751.51元。查处4起非贫困户冒名贫困户身份信息住院医保基金不予支付，挽回医保基金损失2.7万元。</w:t>
      </w:r>
    </w:p>
    <w:p>
      <w:pPr>
        <w:numPr>
          <w:ilvl w:val="0"/>
          <w:numId w:val="2"/>
        </w:numPr>
        <w:spacing w:line="560" w:lineRule="exact"/>
        <w:ind w:left="0" w:leftChars="0" w:firstLine="643" w:firstLineChars="200"/>
        <w:rPr>
          <w:rFonts w:hint="eastAsia" w:ascii="仿宋_GB2312" w:hAnsi="仿宋_GB2312" w:eastAsia="仿宋_GB2312" w:cs="仿宋_GB2312"/>
          <w:bCs/>
          <w:sz w:val="32"/>
          <w:szCs w:val="32"/>
          <w:lang w:val="en-US" w:eastAsia="zh-CN"/>
        </w:rPr>
      </w:pPr>
      <w:r>
        <w:rPr>
          <w:rFonts w:hint="eastAsia" w:ascii="Calibri" w:hAnsi="楷体" w:eastAsia="楷体" w:cs="楷体"/>
          <w:b/>
          <w:color w:val="000000"/>
          <w:sz w:val="32"/>
          <w:szCs w:val="32"/>
        </w:rPr>
        <w:t>医保扶贫成效明显。</w:t>
      </w:r>
      <w:r>
        <w:rPr>
          <w:rFonts w:hint="eastAsia" w:ascii="仿宋_GB2312" w:hAnsi="仿宋_GB2312" w:eastAsia="仿宋_GB2312" w:cs="仿宋_GB2312"/>
          <w:bCs/>
          <w:sz w:val="32"/>
          <w:szCs w:val="32"/>
          <w:lang w:val="en-US" w:eastAsia="zh-CN"/>
        </w:rPr>
        <w:t>实现了建档立卡贫困人口100%参保，县内建档立卡贫困患者住院政策范围内自付费用控制在10%以内。1-12月，全县建档立卡贫困人口住院48219人次，医疗费总额20883万元，报销总额17681万元，其中，基本医疗保险基金支付11300万元，大病医疗保险709万元，医保扶贫补助5672万元。新认定建档立卡贫困人口一类门诊特殊疾病1251人，二类门诊特殊疾病报账2171人，医保基金支付705万元，医保扶贫支付422万元。</w:t>
      </w:r>
    </w:p>
    <w:p>
      <w:pPr>
        <w:widowControl/>
        <w:numPr>
          <w:ilvl w:val="0"/>
          <w:numId w:val="2"/>
        </w:numPr>
        <w:spacing w:line="560" w:lineRule="exact"/>
        <w:ind w:left="0" w:leftChars="0" w:firstLine="643" w:firstLineChars="200"/>
        <w:rPr>
          <w:rFonts w:hint="eastAsia" w:ascii="仿宋_GB2312" w:hAnsi="仿宋_GB2312" w:eastAsia="仿宋_GB2312" w:cs="仿宋_GB2312"/>
          <w:bCs/>
          <w:sz w:val="32"/>
          <w:szCs w:val="32"/>
          <w:lang w:val="en-US" w:eastAsia="zh-CN"/>
        </w:rPr>
      </w:pPr>
      <w:r>
        <w:rPr>
          <w:rFonts w:hint="eastAsia" w:ascii="Calibri" w:hAnsi="楷体" w:eastAsia="楷体" w:cs="楷体"/>
          <w:b/>
          <w:color w:val="000000"/>
          <w:sz w:val="32"/>
          <w:szCs w:val="32"/>
        </w:rPr>
        <w:t>精准帮扶持续发力。</w:t>
      </w:r>
      <w:r>
        <w:rPr>
          <w:rFonts w:hint="eastAsia" w:ascii="仿宋_GB2312" w:hAnsi="仿宋_GB2312" w:eastAsia="仿宋_GB2312" w:cs="仿宋_GB2312"/>
          <w:bCs/>
          <w:sz w:val="32"/>
          <w:szCs w:val="32"/>
          <w:lang w:val="en-US" w:eastAsia="zh-CN"/>
        </w:rPr>
        <w:t>一是抓规划促引领。为单位帮扶的新兴村、长岗村制定巩固提升方案，增强脱贫的可持续性。二是抓党建促脱贫。扎实开展城乡党组织结对共建活动，充分利用7.1等主题党日活动，增强了我局同新兴村、长岗村党支部的战斗力、凝聚力、创造力。三是抓培训促帮扶。认真抓好帮扶干部的培训，共开展脱贫政策培训80多人次，安装“四川医保”“异地就医”APP，为贫困户申请注册了信息，建立社保服务示范点，村卫生室安通金保网络，老百姓就医买药可以直接刷卡，开展贫困户政策知识培训200多人次。四是抓小微经济促增收。针对今年非洲猪瘟疫情严重、帮扶对象增收减少的现象，全局及时购买土鸡苗 10余万只，并邀请相关专家对帮扶对象进行土鸡养殖技术培训，通过这一措施帮助贫困对象增收补短。五是抓环境建设促提升。协助新兴村道路、安全饮水、塘库整治以及电网升级改造。建设标准化卫生室90平米，文化活动室90平米，文化广场1000平米。六是抓“三同”促群众满意度。全局帮扶干部人员按照全县帮扶工作要求，认真开展“三同”帮扶工作，进行政策宣讲、感恩教育、室内室外环境整治等，切实提高了群众满意度。</w:t>
      </w:r>
    </w:p>
    <w:p>
      <w:pPr>
        <w:widowControl/>
        <w:numPr>
          <w:ilvl w:val="0"/>
          <w:numId w:val="2"/>
        </w:numPr>
        <w:spacing w:line="560" w:lineRule="exact"/>
        <w:ind w:left="0" w:leftChars="0" w:firstLine="643" w:firstLineChars="200"/>
        <w:rPr>
          <w:rFonts w:hint="eastAsia" w:ascii="仿宋_GB2312" w:hAnsi="仿宋_GB2312" w:eastAsia="仿宋_GB2312" w:cs="仿宋_GB2312"/>
          <w:bCs/>
          <w:sz w:val="32"/>
          <w:szCs w:val="32"/>
          <w:lang w:val="en-US" w:eastAsia="zh-CN"/>
        </w:rPr>
      </w:pPr>
      <w:r>
        <w:rPr>
          <w:rFonts w:hint="eastAsia" w:ascii="Calibri" w:hAnsi="楷体" w:eastAsia="楷体" w:cs="楷体"/>
          <w:b/>
          <w:bCs/>
          <w:color w:val="000000"/>
          <w:sz w:val="32"/>
          <w:szCs w:val="32"/>
        </w:rPr>
        <w:t>信访矛盾化解及时。</w:t>
      </w:r>
      <w:r>
        <w:rPr>
          <w:rFonts w:hint="eastAsia" w:ascii="仿宋_GB2312" w:hAnsi="仿宋_GB2312" w:eastAsia="仿宋_GB2312" w:cs="仿宋_GB2312"/>
          <w:bCs/>
          <w:sz w:val="32"/>
          <w:szCs w:val="32"/>
          <w:lang w:val="en-US" w:eastAsia="zh-CN"/>
        </w:rPr>
        <w:t>医疗保障局组建后，及时成立信访稳定工作领导小组，落实各项信访工作制度，积极处理化解各类信访矛盾。处理各级各部门批转信访件49件次，办结率100%，满意率99%，其中省级信访3件，市级信访36件，县级信访10件，均在规定时间内结案，信访人息访息诉。</w:t>
      </w:r>
    </w:p>
    <w:p>
      <w:pPr>
        <w:pStyle w:val="6"/>
        <w:keepNext w:val="0"/>
        <w:keepLines w:val="0"/>
        <w:pageBreakBefore w:val="0"/>
        <w:widowControl w:val="0"/>
        <w:kinsoku/>
        <w:wordWrap/>
        <w:overflowPunct/>
        <w:topLinePunct w:val="0"/>
        <w:autoSpaceDE/>
        <w:autoSpaceDN/>
        <w:bidi w:val="0"/>
        <w:adjustRightInd w:val="0"/>
        <w:snapToGrid w:val="0"/>
        <w:spacing w:before="72" w:line="560" w:lineRule="exact"/>
        <w:ind w:firstLine="600" w:firstLineChars="200"/>
        <w:textAlignment w:val="auto"/>
        <w:rPr>
          <w:rFonts w:hint="eastAsia" w:ascii="黑体" w:eastAsia="黑体"/>
          <w:b w:val="0"/>
          <w:bCs w:val="0"/>
          <w:color w:val="000000"/>
          <w:sz w:val="32"/>
          <w:szCs w:val="32"/>
        </w:rPr>
      </w:pPr>
      <w:bookmarkStart w:id="20" w:name="_Toc15377200"/>
      <w:bookmarkStart w:id="21" w:name="_Toc15396601"/>
      <w:r>
        <w:rPr>
          <w:rFonts w:hint="default" w:ascii="Times New Roman" w:hAnsi="Times New Roman" w:eastAsia="黑体" w:cs="Times New Roman"/>
          <w:b w:val="0"/>
          <w:color w:val="000000"/>
        </w:rPr>
        <w:t>二、机</w:t>
      </w:r>
      <w:r>
        <w:rPr>
          <w:rStyle w:val="26"/>
          <w:rFonts w:hint="default" w:ascii="Times New Roman" w:hAnsi="Times New Roman" w:eastAsia="黑体" w:cs="Times New Roman"/>
          <w:b w:val="0"/>
          <w:bCs w:val="0"/>
        </w:rPr>
        <w:t>构设置</w:t>
      </w:r>
      <w:bookmarkEnd w:id="20"/>
      <w:bookmarkEnd w:id="21"/>
      <w:bookmarkStart w:id="22" w:name="_Toc15377204"/>
      <w:bookmarkStart w:id="23" w:name="_Toc15396602"/>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spacing w:val="-4"/>
          <w:kern w:val="0"/>
          <w:sz w:val="32"/>
          <w:szCs w:val="32"/>
        </w:rPr>
      </w:pPr>
      <w:r>
        <w:rPr>
          <w:rFonts w:hint="eastAsia" w:ascii="仿宋" w:hAnsi="仿宋" w:eastAsia="仿宋"/>
          <w:spacing w:val="-4"/>
          <w:kern w:val="0"/>
          <w:sz w:val="32"/>
          <w:szCs w:val="32"/>
        </w:rPr>
        <w:t>平昌县医疗保障局</w:t>
      </w:r>
      <w:r>
        <w:rPr>
          <w:rFonts w:ascii="仿宋" w:hAnsi="仿宋" w:eastAsia="仿宋"/>
          <w:spacing w:val="-4"/>
          <w:kern w:val="0"/>
          <w:sz w:val="32"/>
          <w:szCs w:val="32"/>
        </w:rPr>
        <w:t>是</w:t>
      </w:r>
      <w:r>
        <w:rPr>
          <w:rFonts w:hint="eastAsia" w:ascii="仿宋" w:hAnsi="仿宋" w:eastAsia="仿宋"/>
          <w:spacing w:val="-4"/>
          <w:kern w:val="0"/>
          <w:sz w:val="32"/>
          <w:szCs w:val="32"/>
          <w:lang w:eastAsia="zh-CN"/>
        </w:rPr>
        <w:t>行政</w:t>
      </w:r>
      <w:r>
        <w:rPr>
          <w:rFonts w:hint="eastAsia" w:ascii="仿宋" w:hAnsi="仿宋" w:eastAsia="仿宋"/>
          <w:spacing w:val="-4"/>
          <w:kern w:val="0"/>
          <w:sz w:val="32"/>
          <w:szCs w:val="32"/>
        </w:rPr>
        <w:t>单位</w:t>
      </w:r>
      <w:r>
        <w:rPr>
          <w:rFonts w:ascii="仿宋" w:hAnsi="仿宋" w:eastAsia="仿宋"/>
          <w:spacing w:val="-4"/>
          <w:kern w:val="0"/>
          <w:sz w:val="32"/>
          <w:szCs w:val="32"/>
        </w:rPr>
        <w:t>，属一级预算单位，</w:t>
      </w:r>
      <w:r>
        <w:rPr>
          <w:rFonts w:hint="eastAsia" w:ascii="仿宋" w:hAnsi="仿宋" w:eastAsia="仿宋"/>
          <w:spacing w:val="-4"/>
          <w:kern w:val="0"/>
          <w:sz w:val="32"/>
          <w:szCs w:val="32"/>
          <w:lang w:eastAsia="zh-CN"/>
        </w:rPr>
        <w:t>目前</w:t>
      </w:r>
      <w:r>
        <w:rPr>
          <w:rFonts w:ascii="仿宋" w:hAnsi="仿宋" w:eastAsia="仿宋"/>
          <w:spacing w:val="-4"/>
          <w:kern w:val="0"/>
          <w:sz w:val="32"/>
          <w:szCs w:val="32"/>
        </w:rPr>
        <w:t>执行</w:t>
      </w:r>
      <w:r>
        <w:rPr>
          <w:rFonts w:hint="eastAsia" w:ascii="仿宋" w:hAnsi="仿宋" w:eastAsia="仿宋"/>
          <w:spacing w:val="-4"/>
          <w:kern w:val="0"/>
          <w:sz w:val="32"/>
          <w:szCs w:val="32"/>
        </w:rPr>
        <w:t>事业</w:t>
      </w:r>
      <w:r>
        <w:rPr>
          <w:rFonts w:ascii="仿宋" w:hAnsi="仿宋" w:eastAsia="仿宋"/>
          <w:spacing w:val="-4"/>
          <w:kern w:val="0"/>
          <w:sz w:val="32"/>
          <w:szCs w:val="32"/>
        </w:rPr>
        <w:t>会计制度，其全部收入和支出都纳入财政综合预算管理，资产隶属于县财政局监督和管理。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根据《中共巴中市委办公室 巴中市人民政府办公室印发&lt;平昌县机构改革方案&gt;的通知》，（巴委办字〔2019〕9号）、《平昌县深化机构改革工作领导小组 中共平昌县委机构编制委员会印发关于，&lt;平昌县机构改革方案&gt;的实施意见》（平机改〔2019〕1号）规定，我单位共有内设股室5个（办公室、医疗服务管理股、基金监督管理股、</w:t>
      </w:r>
      <w:r>
        <w:rPr>
          <w:rFonts w:hint="eastAsia" w:ascii="仿宋_GB2312" w:hAnsi="仿宋_GB2312" w:eastAsia="仿宋_GB2312" w:cs="仿宋_GB2312"/>
          <w:spacing w:val="-4"/>
          <w:kern w:val="0"/>
          <w:sz w:val="32"/>
          <w:szCs w:val="32"/>
          <w:lang w:eastAsia="zh-CN"/>
        </w:rPr>
        <w:t>大</w:t>
      </w:r>
      <w:r>
        <w:rPr>
          <w:rFonts w:hint="eastAsia" w:ascii="仿宋_GB2312" w:hAnsi="仿宋_GB2312" w:eastAsia="仿宋_GB2312" w:cs="仿宋_GB2312"/>
          <w:spacing w:val="-4"/>
          <w:kern w:val="0"/>
          <w:sz w:val="32"/>
          <w:szCs w:val="32"/>
        </w:rPr>
        <w:t>数据管理股、规划财务股)，现</w:t>
      </w:r>
      <w:r>
        <w:rPr>
          <w:rFonts w:hint="eastAsia" w:ascii="仿宋_GB2312" w:hAnsi="仿宋_GB2312" w:eastAsia="仿宋_GB2312" w:cs="仿宋_GB2312"/>
          <w:spacing w:val="-4"/>
          <w:kern w:val="0"/>
          <w:sz w:val="32"/>
          <w:szCs w:val="32"/>
          <w:lang w:eastAsia="zh-CN"/>
        </w:rPr>
        <w:t>有</w:t>
      </w:r>
      <w:r>
        <w:rPr>
          <w:rFonts w:hint="eastAsia" w:ascii="仿宋_GB2312" w:hAnsi="仿宋_GB2312" w:eastAsia="仿宋_GB2312" w:cs="仿宋_GB2312"/>
          <w:spacing w:val="-4"/>
          <w:kern w:val="0"/>
          <w:sz w:val="32"/>
          <w:szCs w:val="32"/>
        </w:rPr>
        <w:t>编制数4</w:t>
      </w:r>
      <w:r>
        <w:rPr>
          <w:rFonts w:hint="eastAsia" w:ascii="仿宋_GB2312" w:hAnsi="仿宋_GB2312" w:eastAsia="仿宋_GB2312" w:cs="仿宋_GB2312"/>
          <w:spacing w:val="-4"/>
          <w:kern w:val="0"/>
          <w:sz w:val="32"/>
          <w:szCs w:val="32"/>
          <w:lang w:val="en-US" w:eastAsia="zh-CN"/>
        </w:rPr>
        <w:t>6名</w:t>
      </w:r>
      <w:r>
        <w:rPr>
          <w:rFonts w:hint="eastAsia" w:ascii="仿宋_GB2312" w:hAnsi="仿宋_GB2312" w:eastAsia="仿宋_GB2312" w:cs="仿宋_GB2312"/>
          <w:spacing w:val="-4"/>
          <w:kern w:val="0"/>
          <w:sz w:val="32"/>
          <w:szCs w:val="32"/>
        </w:rPr>
        <w:t>（</w:t>
      </w:r>
      <w:r>
        <w:rPr>
          <w:rFonts w:hint="eastAsia" w:ascii="仿宋_GB2312" w:hAnsi="仿宋_GB2312" w:eastAsia="仿宋_GB2312" w:cs="仿宋_GB2312"/>
          <w:spacing w:val="-4"/>
          <w:kern w:val="0"/>
          <w:sz w:val="32"/>
          <w:szCs w:val="32"/>
          <w:lang w:eastAsia="zh-CN"/>
        </w:rPr>
        <w:t>行政编制</w:t>
      </w:r>
      <w:r>
        <w:rPr>
          <w:rFonts w:hint="eastAsia" w:ascii="仿宋_GB2312" w:hAnsi="仿宋_GB2312" w:eastAsia="仿宋_GB2312" w:cs="仿宋_GB2312"/>
          <w:spacing w:val="-4"/>
          <w:kern w:val="0"/>
          <w:sz w:val="32"/>
          <w:szCs w:val="32"/>
          <w:lang w:val="en-US" w:eastAsia="zh-CN"/>
        </w:rPr>
        <w:t>6名、</w:t>
      </w:r>
      <w:r>
        <w:rPr>
          <w:rFonts w:hint="eastAsia" w:ascii="仿宋_GB2312" w:hAnsi="仿宋_GB2312" w:eastAsia="仿宋_GB2312" w:cs="仿宋_GB2312"/>
          <w:spacing w:val="-4"/>
          <w:kern w:val="0"/>
          <w:sz w:val="32"/>
          <w:szCs w:val="32"/>
        </w:rPr>
        <w:t>参照公务员编制35</w:t>
      </w:r>
      <w:r>
        <w:rPr>
          <w:rFonts w:hint="eastAsia" w:ascii="仿宋_GB2312" w:hAnsi="仿宋_GB2312" w:eastAsia="仿宋_GB2312" w:cs="仿宋_GB2312"/>
          <w:spacing w:val="-4"/>
          <w:kern w:val="0"/>
          <w:sz w:val="32"/>
          <w:szCs w:val="32"/>
          <w:lang w:eastAsia="zh-CN"/>
        </w:rPr>
        <w:t>名</w:t>
      </w:r>
      <w:r>
        <w:rPr>
          <w:rFonts w:hint="eastAsia" w:ascii="仿宋_GB2312" w:hAnsi="仿宋_GB2312" w:eastAsia="仿宋_GB2312" w:cs="仿宋_GB2312"/>
          <w:spacing w:val="-4"/>
          <w:kern w:val="0"/>
          <w:sz w:val="32"/>
          <w:szCs w:val="32"/>
        </w:rPr>
        <w:t>、全额供给事业编制3</w:t>
      </w:r>
      <w:r>
        <w:rPr>
          <w:rFonts w:hint="eastAsia" w:ascii="仿宋_GB2312" w:hAnsi="仿宋_GB2312" w:eastAsia="仿宋_GB2312" w:cs="仿宋_GB2312"/>
          <w:spacing w:val="-4"/>
          <w:kern w:val="0"/>
          <w:sz w:val="32"/>
          <w:szCs w:val="32"/>
          <w:lang w:eastAsia="zh-CN"/>
        </w:rPr>
        <w:t>名</w:t>
      </w:r>
      <w:r>
        <w:rPr>
          <w:rFonts w:hint="eastAsia" w:ascii="仿宋_GB2312" w:hAnsi="仿宋_GB2312" w:eastAsia="仿宋_GB2312" w:cs="仿宋_GB2312"/>
          <w:spacing w:val="-4"/>
          <w:kern w:val="0"/>
          <w:sz w:val="32"/>
          <w:szCs w:val="32"/>
        </w:rPr>
        <w:t>、机关工勤编制2</w:t>
      </w:r>
      <w:r>
        <w:rPr>
          <w:rFonts w:hint="eastAsia" w:ascii="仿宋_GB2312" w:hAnsi="仿宋_GB2312" w:eastAsia="仿宋_GB2312" w:cs="仿宋_GB2312"/>
          <w:spacing w:val="-4"/>
          <w:kern w:val="0"/>
          <w:sz w:val="32"/>
          <w:szCs w:val="32"/>
          <w:lang w:eastAsia="zh-CN"/>
        </w:rPr>
        <w:t>名</w:t>
      </w:r>
      <w:r>
        <w:rPr>
          <w:rFonts w:hint="eastAsia" w:ascii="仿宋_GB2312" w:hAnsi="仿宋_GB2312" w:eastAsia="仿宋_GB2312" w:cs="仿宋_GB2312"/>
          <w:spacing w:val="-4"/>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平昌县医疗保障局属于独立的一级预算单位，下设2个中心（医疗保障服务中心、特殊人群服务中心）。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p>
    <w:p>
      <w:pPr>
        <w:pStyle w:val="2"/>
        <w:pageBreakBefore w:val="0"/>
        <w:kinsoku/>
        <w:wordWrap/>
        <w:overflowPunct/>
        <w:topLinePunct w:val="0"/>
        <w:bidi w:val="0"/>
        <w:spacing w:before="0" w:line="560" w:lineRule="exact"/>
        <w:ind w:right="440"/>
        <w:jc w:val="right"/>
        <w:rPr>
          <w:rStyle w:val="25"/>
          <w:rFonts w:hint="default" w:ascii="Times New Roman" w:hAnsi="Times New Roman" w:eastAsia="黑体" w:cs="Times New Roman"/>
          <w:b w:val="0"/>
          <w:bCs w:val="0"/>
        </w:rPr>
      </w:pPr>
      <w:r>
        <w:rPr>
          <w:rFonts w:hint="eastAsia" w:eastAsia="黑体" w:cs="Times New Roman"/>
          <w:b w:val="0"/>
          <w:color w:val="000000"/>
          <w:lang w:val="en-US" w:eastAsia="zh-CN"/>
        </w:rPr>
        <w:t xml:space="preserve">  </w:t>
      </w: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5"/>
          <w:rFonts w:hint="default" w:ascii="Times New Roman" w:hAnsi="Times New Roman" w:eastAsia="黑体" w:cs="Times New Roman"/>
          <w:b w:val="0"/>
          <w:bCs w:val="0"/>
        </w:rPr>
        <w:t>201</w:t>
      </w:r>
      <w:r>
        <w:rPr>
          <w:rStyle w:val="25"/>
          <w:rFonts w:hint="eastAsia" w:eastAsia="黑体" w:cs="Times New Roman"/>
          <w:b w:val="0"/>
          <w:bCs w:val="0"/>
          <w:lang w:val="en-US" w:eastAsia="zh-CN"/>
        </w:rPr>
        <w:t>9</w:t>
      </w:r>
      <w:r>
        <w:rPr>
          <w:rStyle w:val="25"/>
          <w:rFonts w:hint="default" w:ascii="Times New Roman" w:hAnsi="Times New Roman" w:eastAsia="黑体" w:cs="Times New Roman"/>
          <w:b w:val="0"/>
          <w:bCs w:val="0"/>
        </w:rPr>
        <w:t>年度部门决算情况说明</w:t>
      </w:r>
      <w:bookmarkEnd w:id="22"/>
      <w:bookmarkEnd w:id="23"/>
    </w:p>
    <w:p>
      <w:pPr>
        <w:pageBreakBefore w:val="0"/>
        <w:kinsoku/>
        <w:wordWrap/>
        <w:overflowPunct/>
        <w:topLinePunct w:val="0"/>
        <w:bidi w:val="0"/>
        <w:spacing w:line="560" w:lineRule="exact"/>
        <w:rPr>
          <w:rFonts w:hint="default" w:ascii="Times New Roman" w:hAnsi="Times New Roman" w:cs="Times New Roman"/>
        </w:rPr>
      </w:pPr>
    </w:p>
    <w:p>
      <w:pPr>
        <w:pStyle w:val="24"/>
        <w:pageBreakBefore w:val="0"/>
        <w:numPr>
          <w:ilvl w:val="0"/>
          <w:numId w:val="0"/>
        </w:numPr>
        <w:kinsoku/>
        <w:wordWrap/>
        <w:overflowPunct/>
        <w:topLinePunct w:val="0"/>
        <w:bidi w:val="0"/>
        <w:spacing w:line="560" w:lineRule="exact"/>
        <w:ind w:left="640" w:leftChars="0"/>
        <w:outlineLvl w:val="1"/>
        <w:rPr>
          <w:rStyle w:val="26"/>
          <w:rFonts w:hint="default" w:ascii="Times New Roman" w:hAnsi="Times New Roman" w:eastAsia="黑体" w:cs="Times New Roman"/>
          <w:b w:val="0"/>
        </w:rPr>
      </w:pPr>
      <w:bookmarkStart w:id="24" w:name="_Toc15396603"/>
      <w:bookmarkStart w:id="25" w:name="_Toc15377205"/>
      <w:r>
        <w:rPr>
          <w:rFonts w:hint="eastAsia" w:eastAsia="黑体" w:cs="Times New Roman"/>
          <w:color w:val="000000"/>
          <w:sz w:val="32"/>
          <w:szCs w:val="32"/>
          <w:lang w:eastAsia="zh-CN"/>
        </w:rPr>
        <w:t>一、</w:t>
      </w:r>
      <w:r>
        <w:rPr>
          <w:rFonts w:hint="default" w:ascii="Times New Roman" w:hAnsi="Times New Roman" w:eastAsia="黑体" w:cs="Times New Roman"/>
          <w:color w:val="000000"/>
          <w:sz w:val="32"/>
          <w:szCs w:val="32"/>
        </w:rPr>
        <w:t>收</w:t>
      </w:r>
      <w:r>
        <w:rPr>
          <w:rStyle w:val="26"/>
          <w:rFonts w:hint="default" w:ascii="Times New Roman" w:hAnsi="Times New Roman" w:eastAsia="黑体" w:cs="Times New Roman"/>
          <w:b w:val="0"/>
        </w:rPr>
        <w:t>入支出决算总体情况说明</w:t>
      </w:r>
      <w:bookmarkEnd w:id="24"/>
      <w:bookmarkEnd w:id="25"/>
    </w:p>
    <w:p>
      <w:pPr>
        <w:spacing w:line="60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年度收、支总计</w:t>
      </w:r>
      <w:r>
        <w:rPr>
          <w:rFonts w:hint="eastAsia" w:eastAsia="仿宋" w:cs="Times New Roman"/>
          <w:color w:val="000000"/>
          <w:sz w:val="32"/>
          <w:szCs w:val="32"/>
          <w:lang w:eastAsia="zh-CN"/>
        </w:rPr>
        <w:t>各</w:t>
      </w:r>
      <w:r>
        <w:rPr>
          <w:rFonts w:hint="eastAsia" w:eastAsia="仿宋" w:cs="Times New Roman"/>
          <w:color w:val="000000"/>
          <w:sz w:val="32"/>
          <w:szCs w:val="32"/>
          <w:lang w:val="en-US" w:eastAsia="zh-CN"/>
        </w:rPr>
        <w:t xml:space="preserve"> 560.24 </w:t>
      </w:r>
      <w:r>
        <w:rPr>
          <w:rFonts w:hint="default" w:ascii="Times New Roman" w:hAnsi="Times New Roman" w:eastAsia="仿宋" w:cs="Times New Roman"/>
          <w:color w:val="000000"/>
          <w:sz w:val="32"/>
          <w:szCs w:val="32"/>
        </w:rPr>
        <w:t>万元。与201</w:t>
      </w:r>
      <w:r>
        <w:rPr>
          <w:rFonts w:hint="eastAsia" w:eastAsia="仿宋" w:cs="Times New Roman"/>
          <w:color w:val="000000"/>
          <w:sz w:val="32"/>
          <w:szCs w:val="32"/>
          <w:lang w:val="en-US" w:eastAsia="zh-CN"/>
        </w:rPr>
        <w:t>8</w:t>
      </w:r>
      <w:r>
        <w:rPr>
          <w:rFonts w:hint="default" w:ascii="Times New Roman" w:hAnsi="Times New Roman" w:eastAsia="仿宋" w:cs="Times New Roman"/>
          <w:color w:val="000000"/>
          <w:sz w:val="32"/>
          <w:szCs w:val="32"/>
        </w:rPr>
        <w:t>年相比，收、支总计各</w:t>
      </w:r>
      <w:r>
        <w:rPr>
          <w:rFonts w:hint="eastAsia" w:eastAsia="仿宋" w:cs="Times New Roman"/>
          <w:color w:val="000000"/>
          <w:sz w:val="32"/>
          <w:szCs w:val="32"/>
          <w:lang w:eastAsia="zh-CN"/>
        </w:rPr>
        <w:t>增长了</w:t>
      </w:r>
      <w:r>
        <w:rPr>
          <w:rFonts w:hint="eastAsia" w:eastAsia="仿宋" w:cs="Times New Roman"/>
          <w:color w:val="000000"/>
          <w:sz w:val="32"/>
          <w:szCs w:val="32"/>
          <w:lang w:val="en-US" w:eastAsia="zh-CN"/>
        </w:rPr>
        <w:t>49.93</w:t>
      </w:r>
      <w:r>
        <w:rPr>
          <w:rFonts w:hint="eastAsia" w:eastAsia="仿宋" w:cs="Times New Roman"/>
          <w:color w:val="000000"/>
          <w:sz w:val="32"/>
          <w:szCs w:val="32"/>
          <w:highlight w:val="none"/>
          <w:lang w:val="en-US" w:eastAsia="zh-CN"/>
        </w:rPr>
        <w:t xml:space="preserve"> </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highlight w:val="none"/>
        </w:rPr>
        <w:t>增长</w:t>
      </w:r>
      <w:r>
        <w:rPr>
          <w:rFonts w:hint="eastAsia" w:eastAsia="仿宋" w:cs="Times New Roman"/>
          <w:color w:val="000000"/>
          <w:sz w:val="32"/>
          <w:szCs w:val="32"/>
          <w:highlight w:val="none"/>
          <w:lang w:val="en-US" w:eastAsia="zh-CN"/>
        </w:rPr>
        <w:t xml:space="preserve"> 9.78</w:t>
      </w:r>
      <w:r>
        <w:rPr>
          <w:rFonts w:hint="default" w:ascii="Times New Roman" w:hAnsi="Times New Roman" w:eastAsia="仿宋" w:cs="Times New Roman"/>
          <w:color w:val="000000"/>
          <w:sz w:val="32"/>
          <w:szCs w:val="32"/>
        </w:rPr>
        <w:t>%。</w:t>
      </w:r>
      <w:r>
        <w:rPr>
          <w:rFonts w:hint="default" w:eastAsia="仿宋" w:cs="Times New Roman"/>
          <w:color w:val="000000"/>
          <w:sz w:val="32"/>
          <w:szCs w:val="32"/>
          <w:lang w:val="en-US" w:eastAsia="zh-CN"/>
        </w:rPr>
        <w:t>主要变动原因：</w:t>
      </w:r>
      <w:r>
        <w:rPr>
          <w:rFonts w:hint="eastAsia" w:eastAsia="仿宋" w:cs="Times New Roman"/>
          <w:color w:val="000000"/>
          <w:sz w:val="32"/>
          <w:szCs w:val="32"/>
          <w:lang w:val="en-US" w:eastAsia="zh-CN"/>
        </w:rPr>
        <w:t>人员调动</w:t>
      </w:r>
      <w:r>
        <w:rPr>
          <w:rFonts w:hint="eastAsia" w:eastAsia="仿宋" w:cs="Times New Roman"/>
          <w:color w:val="000000"/>
          <w:sz w:val="32"/>
          <w:szCs w:val="32"/>
          <w:lang w:eastAsia="zh-CN"/>
        </w:rPr>
        <w:t>、政策宣传、脱贫攻坚费用等。</w:t>
      </w:r>
    </w:p>
    <w:p>
      <w:pPr>
        <w:pStyle w:val="24"/>
        <w:pageBreakBefore w:val="0"/>
        <w:numPr>
          <w:ilvl w:val="0"/>
          <w:numId w:val="0"/>
        </w:numPr>
        <w:kinsoku/>
        <w:wordWrap/>
        <w:overflowPunct/>
        <w:topLinePunct w:val="0"/>
        <w:bidi w:val="0"/>
        <w:spacing w:line="560" w:lineRule="exact"/>
        <w:outlineLvl w:val="1"/>
        <w:rPr>
          <w:rStyle w:val="26"/>
          <w:rFonts w:hint="default" w:ascii="Times New Roman" w:hAnsi="Times New Roman" w:eastAsia="黑体" w:cs="Times New Roman"/>
          <w:b w:val="0"/>
        </w:rPr>
      </w:pPr>
      <w:bookmarkStart w:id="26" w:name="_Toc15377206"/>
      <w:bookmarkStart w:id="27" w:name="_Toc15396604"/>
      <w:r>
        <w:rPr>
          <w:rFonts w:hint="eastAsia" w:eastAsia="黑体" w:cs="Times New Roman"/>
          <w:color w:val="000000"/>
          <w:sz w:val="32"/>
          <w:szCs w:val="32"/>
          <w:lang w:val="en-US" w:eastAsia="zh-CN"/>
        </w:rPr>
        <w:t xml:space="preserve">    </w:t>
      </w:r>
      <w:r>
        <w:rPr>
          <w:rFonts w:hint="eastAsia" w:eastAsia="黑体" w:cs="Times New Roman"/>
          <w:color w:val="000000"/>
          <w:sz w:val="32"/>
          <w:szCs w:val="32"/>
          <w:lang w:eastAsia="zh-CN"/>
        </w:rPr>
        <w:t>二、</w:t>
      </w:r>
      <w:r>
        <w:rPr>
          <w:rFonts w:hint="default" w:ascii="Times New Roman" w:hAnsi="Times New Roman" w:eastAsia="黑体" w:cs="Times New Roman"/>
          <w:color w:val="000000"/>
          <w:sz w:val="32"/>
          <w:szCs w:val="32"/>
        </w:rPr>
        <w:t>收</w:t>
      </w:r>
      <w:r>
        <w:rPr>
          <w:rStyle w:val="26"/>
          <w:rFonts w:hint="default" w:ascii="Times New Roman" w:hAnsi="Times New Roman" w:eastAsia="黑体" w:cs="Times New Roman"/>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bookmarkStart w:id="28" w:name="_Toc15396605"/>
      <w:bookmarkStart w:id="29" w:name="_Toc15377207"/>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560.24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560.24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pStyle w:val="24"/>
        <w:pageBreakBefore w:val="0"/>
        <w:numPr>
          <w:ilvl w:val="0"/>
          <w:numId w:val="0"/>
        </w:numPr>
        <w:kinsoku/>
        <w:wordWrap/>
        <w:overflowPunct/>
        <w:topLinePunct w:val="0"/>
        <w:bidi w:val="0"/>
        <w:spacing w:line="560" w:lineRule="exact"/>
        <w:outlineLvl w:val="1"/>
        <w:rPr>
          <w:rStyle w:val="26"/>
          <w:rFonts w:hint="default" w:ascii="Times New Roman" w:hAnsi="Times New Roman" w:eastAsia="黑体" w:cs="Times New Roman"/>
          <w:b w:val="0"/>
        </w:rPr>
      </w:pPr>
      <w:r>
        <w:rPr>
          <w:rFonts w:hint="eastAsia" w:eastAsia="黑体" w:cs="Times New Roman"/>
          <w:color w:val="000000"/>
          <w:sz w:val="32"/>
          <w:szCs w:val="32"/>
          <w:lang w:val="en-US" w:eastAsia="zh-CN"/>
        </w:rPr>
        <w:t xml:space="preserve">    </w:t>
      </w:r>
      <w:r>
        <w:rPr>
          <w:rFonts w:hint="eastAsia" w:eastAsia="黑体" w:cs="Times New Roman"/>
          <w:color w:val="000000"/>
          <w:sz w:val="32"/>
          <w:szCs w:val="32"/>
          <w:lang w:eastAsia="zh-CN"/>
        </w:rPr>
        <w:t>三、</w:t>
      </w:r>
      <w:r>
        <w:rPr>
          <w:rFonts w:hint="default" w:ascii="Times New Roman" w:hAnsi="Times New Roman" w:eastAsia="黑体" w:cs="Times New Roman"/>
          <w:color w:val="000000"/>
          <w:sz w:val="32"/>
          <w:szCs w:val="32"/>
        </w:rPr>
        <w:t>支</w:t>
      </w:r>
      <w:r>
        <w:rPr>
          <w:rStyle w:val="26"/>
          <w:rFonts w:hint="default" w:ascii="Times New Roman" w:hAnsi="Times New Roman" w:eastAsia="黑体" w:cs="Times New Roman"/>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bookmarkStart w:id="30" w:name="_Toc15396606"/>
      <w:bookmarkStart w:id="31" w:name="_Toc15377208"/>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560.24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453.44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80.94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19.06</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firstLineChars="200"/>
        <w:outlineLvl w:val="1"/>
        <w:rPr>
          <w:rStyle w:val="26"/>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26"/>
          <w:rFonts w:hint="default" w:ascii="Times New Roman" w:hAnsi="Times New Roman" w:eastAsia="黑体" w:cs="Times New Roman"/>
          <w:b w:val="0"/>
        </w:rPr>
        <w:t>政拨款收入支出决算总体情况说明</w:t>
      </w:r>
      <w:bookmarkEnd w:id="30"/>
      <w:bookmarkEnd w:id="31"/>
    </w:p>
    <w:p>
      <w:pPr>
        <w:spacing w:line="600" w:lineRule="exact"/>
        <w:ind w:firstLine="640"/>
        <w:rPr>
          <w:rFonts w:ascii="仿宋" w:hAnsi="仿宋" w:eastAsia="仿宋"/>
          <w:color w:val="000000"/>
          <w:sz w:val="32"/>
          <w:szCs w:val="32"/>
        </w:rPr>
      </w:pPr>
      <w:bookmarkStart w:id="32" w:name="_Toc15396607"/>
      <w:bookmarkStart w:id="33" w:name="_Toc15377209"/>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560.24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w:t>
      </w:r>
      <w:r>
        <w:rPr>
          <w:rFonts w:hint="eastAsia" w:eastAsia="仿宋" w:cs="Times New Roman"/>
          <w:color w:val="000000"/>
          <w:sz w:val="32"/>
          <w:szCs w:val="32"/>
          <w:highlight w:val="none"/>
          <w:lang w:eastAsia="zh-CN"/>
        </w:rPr>
        <w:t>增加</w:t>
      </w:r>
      <w:r>
        <w:rPr>
          <w:rFonts w:hint="eastAsia" w:eastAsia="仿宋" w:cs="Times New Roman"/>
          <w:color w:val="000000"/>
          <w:sz w:val="32"/>
          <w:szCs w:val="32"/>
          <w:highlight w:val="none"/>
          <w:lang w:val="en-US" w:eastAsia="zh-CN"/>
        </w:rPr>
        <w:t xml:space="preserve"> 49.93</w:t>
      </w:r>
      <w:r>
        <w:rPr>
          <w:rFonts w:hint="eastAsia"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highlight w:val="none"/>
        </w:rPr>
        <w:t>增长</w:t>
      </w:r>
      <w:r>
        <w:rPr>
          <w:rFonts w:hint="eastAsia" w:eastAsia="仿宋" w:cs="Times New Roman"/>
          <w:color w:val="000000"/>
          <w:sz w:val="32"/>
          <w:szCs w:val="32"/>
          <w:highlight w:val="none"/>
          <w:lang w:val="en-US" w:eastAsia="zh-CN"/>
        </w:rPr>
        <w:t>9.78</w:t>
      </w:r>
      <w:r>
        <w:rPr>
          <w:rFonts w:hint="default" w:ascii="Times New Roman" w:hAnsi="Times New Roman" w:eastAsia="仿宋" w:cs="Times New Roman"/>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eastAsia="仿宋" w:cs="Times New Roman"/>
          <w:color w:val="000000"/>
          <w:sz w:val="32"/>
          <w:szCs w:val="32"/>
          <w:lang w:eastAsia="zh-CN"/>
        </w:rPr>
        <w:t>人员调动、政策宣传、脱贫攻坚费用等</w:t>
      </w:r>
      <w:r>
        <w:rPr>
          <w:rFonts w:hint="eastAsia" w:ascii="仿宋" w:hAnsi="仿宋" w:eastAsia="仿宋"/>
          <w:color w:val="000000"/>
          <w:sz w:val="32"/>
          <w:szCs w:val="32"/>
          <w:lang w:eastAsia="zh-CN"/>
        </w:rPr>
        <w:t>。</w:t>
      </w:r>
    </w:p>
    <w:bookmarkEnd w:id="32"/>
    <w:bookmarkEnd w:id="33"/>
    <w:p>
      <w:pPr>
        <w:spacing w:line="600" w:lineRule="exact"/>
        <w:outlineLvl w:val="1"/>
        <w:rPr>
          <w:rStyle w:val="26"/>
          <w:rFonts w:ascii="黑体" w:hAnsi="黑体" w:eastAsia="黑体"/>
          <w:b w:val="0"/>
        </w:rPr>
      </w:pPr>
      <w:bookmarkStart w:id="34" w:name="_Toc15396608"/>
      <w:bookmarkStart w:id="35" w:name="_Toc15377214"/>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p>
    <w:p>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560.24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%。与2018年相比，一般公共预算财政拨款</w:t>
      </w:r>
      <w:r>
        <w:rPr>
          <w:rFonts w:hint="default" w:ascii="仿宋" w:hAnsi="仿宋" w:eastAsia="仿宋"/>
          <w:color w:val="000000"/>
          <w:sz w:val="32"/>
          <w:szCs w:val="32"/>
        </w:rPr>
        <w:t>增加</w:t>
      </w:r>
      <w:r>
        <w:rPr>
          <w:rFonts w:hint="eastAsia" w:ascii="仿宋" w:hAnsi="仿宋" w:eastAsia="仿宋"/>
          <w:color w:val="000000"/>
          <w:sz w:val="32"/>
          <w:szCs w:val="32"/>
          <w:lang w:val="en-US" w:eastAsia="zh-CN"/>
        </w:rPr>
        <w:t xml:space="preserve">49.93 </w:t>
      </w:r>
      <w:r>
        <w:rPr>
          <w:rFonts w:hint="default" w:ascii="仿宋" w:hAnsi="仿宋" w:eastAsia="仿宋"/>
          <w:color w:val="000000"/>
          <w:sz w:val="32"/>
          <w:szCs w:val="32"/>
        </w:rPr>
        <w:t>万元，增长</w:t>
      </w:r>
      <w:r>
        <w:rPr>
          <w:rFonts w:hint="eastAsia" w:ascii="仿宋" w:hAnsi="仿宋" w:eastAsia="仿宋"/>
          <w:color w:val="000000"/>
          <w:sz w:val="32"/>
          <w:szCs w:val="32"/>
          <w:lang w:val="en-US" w:eastAsia="zh-CN"/>
        </w:rPr>
        <w:t>9.78</w:t>
      </w:r>
      <w:r>
        <w:rPr>
          <w:rFonts w:hint="default"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医疗保障政策宣传、脱贫攻坚差旅费增加等。</w:t>
      </w:r>
    </w:p>
    <w:p>
      <w:pPr>
        <w:spacing w:line="600" w:lineRule="exact"/>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（二）一般公共预算财政拨款支出决算结构情况</w:t>
      </w:r>
      <w:bookmarkEnd w:id="37"/>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560.24</w:t>
      </w:r>
      <w:r>
        <w:rPr>
          <w:rFonts w:hint="eastAsia" w:ascii="仿宋" w:hAnsi="仿宋" w:eastAsia="仿宋"/>
          <w:color w:val="000000" w:themeColor="text1"/>
          <w:sz w:val="32"/>
          <w:szCs w:val="32"/>
          <w14:textFill>
            <w14:solidFill>
              <w14:schemeClr w14:val="tx1"/>
            </w14:solidFill>
          </w14:textFill>
        </w:rPr>
        <w:t>万元，主要用于以下方面:社会保障和就业（类）支出</w:t>
      </w:r>
      <w:r>
        <w:rPr>
          <w:rFonts w:hint="eastAsia" w:ascii="仿宋" w:hAnsi="仿宋" w:eastAsia="仿宋"/>
          <w:color w:val="000000" w:themeColor="text1"/>
          <w:sz w:val="32"/>
          <w:szCs w:val="32"/>
          <w:lang w:val="en-US" w:eastAsia="zh-CN"/>
          <w14:textFill>
            <w14:solidFill>
              <w14:schemeClr w14:val="tx1"/>
            </w14:solidFill>
          </w14:textFill>
        </w:rPr>
        <w:t>431.57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77</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123.87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农林水支出</w:t>
      </w:r>
      <w:r>
        <w:rPr>
          <w:rFonts w:hint="eastAsia" w:ascii="仿宋" w:hAnsi="仿宋" w:eastAsia="仿宋"/>
          <w:color w:val="000000" w:themeColor="text1"/>
          <w:sz w:val="32"/>
          <w:szCs w:val="32"/>
          <w:lang w:val="en-US" w:eastAsia="zh-CN"/>
          <w14:textFill>
            <w14:solidFill>
              <w14:schemeClr w14:val="tx1"/>
            </w14:solidFill>
          </w14:textFill>
        </w:rPr>
        <w:t>4.8万元，占1%</w:t>
      </w:r>
      <w:r>
        <w:rPr>
          <w:rFonts w:hint="eastAsia" w:ascii="仿宋" w:hAnsi="仿宋" w:eastAsia="仿宋"/>
          <w:color w:val="000000" w:themeColor="text1"/>
          <w:sz w:val="32"/>
          <w:szCs w:val="32"/>
          <w14:textFill>
            <w14:solidFill>
              <w14:schemeClr w14:val="tx1"/>
            </w14:solidFill>
          </w14:textFill>
        </w:rPr>
        <w:t>。</w:t>
      </w:r>
    </w:p>
    <w:p>
      <w:pPr>
        <w:spacing w:line="600" w:lineRule="exact"/>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（三）一般公共预算财政拨款支出决算具体情况</w:t>
      </w:r>
      <w:bookmarkEnd w:id="38"/>
    </w:p>
    <w:p>
      <w:pPr>
        <w:spacing w:line="600" w:lineRule="exact"/>
        <w:ind w:firstLine="643" w:firstLineChars="200"/>
        <w:outlineLvl w:val="2"/>
        <w:rPr>
          <w:rFonts w:ascii="仿宋" w:hAnsi="仿宋" w:eastAsia="仿宋"/>
          <w:b/>
          <w:color w:val="000000"/>
          <w:sz w:val="32"/>
          <w:szCs w:val="32"/>
        </w:rPr>
      </w:pPr>
      <w:bookmarkStart w:id="39" w:name="_Toc15377213"/>
      <w:bookmarkStart w:id="40" w:name="_Toc15377444"/>
      <w:bookmarkStart w:id="41"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560.24万元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9"/>
      <w:bookmarkEnd w:id="40"/>
      <w:bookmarkEnd w:id="41"/>
    </w:p>
    <w:p>
      <w:pPr>
        <w:numPr>
          <w:ilvl w:val="0"/>
          <w:numId w:val="3"/>
        </w:num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人力资源和社会保障管理事务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highlight w:val="none"/>
          <w:lang w:val="en-US" w:eastAsia="zh-CN"/>
        </w:rPr>
        <w:t>社会保险经办机构</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384.36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ab/>
      </w:r>
    </w:p>
    <w:p>
      <w:pPr>
        <w:numPr>
          <w:ilvl w:val="0"/>
          <w:numId w:val="3"/>
        </w:num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行政事业单位离退</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highlight w:val="none"/>
          <w:lang w:val="en-US" w:eastAsia="zh-CN"/>
        </w:rPr>
        <w:t>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39.53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ab/>
      </w:r>
    </w:p>
    <w:p>
      <w:pPr>
        <w:numPr>
          <w:ilvl w:val="0"/>
          <w:numId w:val="3"/>
        </w:num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行政事业单位离退</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highlight w:val="none"/>
          <w:lang w:val="en-US" w:eastAsia="zh-CN"/>
        </w:rPr>
        <w:t xml:space="preserve">  机关事业单位职业年金缴费支出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6.18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ab/>
      </w:r>
    </w:p>
    <w:p>
      <w:pPr>
        <w:numPr>
          <w:ilvl w:val="0"/>
          <w:numId w:val="3"/>
        </w:num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财政对其他社会保险基金的补助</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highlight w:val="none"/>
          <w:lang w:val="en-US" w:eastAsia="zh-CN"/>
        </w:rPr>
        <w:t>财政对失业保险基金的补助</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ab/>
      </w:r>
    </w:p>
    <w:p>
      <w:pPr>
        <w:numPr>
          <w:ilvl w:val="0"/>
          <w:numId w:val="3"/>
        </w:num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财政对其他社会保险基金的补助</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highlight w:val="none"/>
          <w:lang w:val="en-US" w:eastAsia="zh-CN"/>
        </w:rPr>
        <w:t>财政对生育保险基金的补助</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ab/>
      </w:r>
    </w:p>
    <w:p>
      <w:pPr>
        <w:numPr>
          <w:ilvl w:val="0"/>
          <w:numId w:val="0"/>
        </w:numPr>
        <w:spacing w:line="600" w:lineRule="exact"/>
        <w:ind w:firstLine="643" w:firstLineChars="200"/>
        <w:rPr>
          <w:rStyle w:val="15"/>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6、</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highlight w:val="none"/>
          <w:lang w:val="en-US"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highlight w:val="none"/>
          <w:lang w:val="en-US" w:eastAsia="zh-CN"/>
        </w:rPr>
        <w:t>行政单位医疗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17.09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lang w:eastAsia="zh-CN"/>
        </w:rPr>
        <w:t>事业单位医疗（项）：</w:t>
      </w:r>
      <w:r>
        <w:rPr>
          <w:rStyle w:val="15"/>
          <w:rFonts w:hint="eastAsia" w:ascii="仿宋" w:hAnsi="仿宋" w:eastAsia="仿宋"/>
          <w:b w:val="0"/>
          <w:bCs/>
          <w:color w:val="000000"/>
          <w:sz w:val="32"/>
          <w:szCs w:val="32"/>
          <w:lang w:eastAsia="zh-CN"/>
        </w:rPr>
        <w:t>支出决算为</w:t>
      </w:r>
      <w:r>
        <w:rPr>
          <w:rStyle w:val="15"/>
          <w:rFonts w:hint="eastAsia" w:ascii="仿宋" w:hAnsi="仿宋" w:eastAsia="仿宋"/>
          <w:b w:val="0"/>
          <w:bCs/>
          <w:color w:val="000000"/>
          <w:sz w:val="32"/>
          <w:szCs w:val="32"/>
          <w:lang w:val="en-US" w:eastAsia="zh-CN"/>
        </w:rPr>
        <w:t>0.91万元，完成预算100%；</w:t>
      </w:r>
      <w:r>
        <w:rPr>
          <w:rStyle w:val="15"/>
          <w:rFonts w:hint="eastAsia" w:ascii="仿宋" w:hAnsi="仿宋" w:eastAsia="仿宋"/>
          <w:b/>
          <w:bCs w:val="0"/>
          <w:color w:val="000000"/>
          <w:sz w:val="32"/>
          <w:szCs w:val="32"/>
          <w:lang w:val="en-US" w:eastAsia="zh-CN"/>
        </w:rPr>
        <w:t>公务员医疗补助（项）：</w:t>
      </w:r>
      <w:r>
        <w:rPr>
          <w:rStyle w:val="15"/>
          <w:rFonts w:hint="eastAsia" w:ascii="仿宋" w:hAnsi="仿宋" w:eastAsia="仿宋"/>
          <w:b w:val="0"/>
          <w:bCs/>
          <w:color w:val="000000"/>
          <w:sz w:val="32"/>
          <w:szCs w:val="32"/>
          <w:lang w:val="en-US" w:eastAsia="zh-CN"/>
        </w:rPr>
        <w:t>支出决算为3.87万元，完成预算100%；</w:t>
      </w:r>
    </w:p>
    <w:p>
      <w:pPr>
        <w:numPr>
          <w:ilvl w:val="0"/>
          <w:numId w:val="0"/>
        </w:numPr>
        <w:spacing w:line="600" w:lineRule="exact"/>
        <w:ind w:firstLine="643" w:firstLineChars="200"/>
        <w:rPr>
          <w:rStyle w:val="15"/>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7、</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支出</w:t>
      </w:r>
      <w:r>
        <w:rPr>
          <w:rStyle w:val="15"/>
          <w:rFonts w:hint="eastAsia" w:ascii="仿宋" w:hAnsi="仿宋" w:eastAsia="仿宋"/>
          <w:bCs/>
          <w:color w:val="000000"/>
          <w:sz w:val="32"/>
          <w:szCs w:val="32"/>
        </w:rPr>
        <w:t>（类）</w:t>
      </w:r>
      <w:r>
        <w:rPr>
          <w:rStyle w:val="15"/>
          <w:rFonts w:hint="eastAsia" w:ascii="仿宋" w:hAnsi="仿宋" w:eastAsia="仿宋"/>
          <w:b/>
          <w:bCs w:val="0"/>
          <w:color w:val="000000"/>
          <w:sz w:val="32"/>
          <w:szCs w:val="32"/>
          <w:lang w:val="en-US" w:eastAsia="zh-CN"/>
        </w:rPr>
        <w:t>医疗救助（款）城乡医疗救助（项）：</w:t>
      </w:r>
      <w:r>
        <w:rPr>
          <w:rStyle w:val="15"/>
          <w:rFonts w:hint="eastAsia" w:ascii="仿宋" w:hAnsi="仿宋" w:eastAsia="仿宋"/>
          <w:b w:val="0"/>
          <w:bCs/>
          <w:color w:val="000000"/>
          <w:sz w:val="32"/>
          <w:szCs w:val="32"/>
          <w:lang w:val="en-US" w:eastAsia="zh-CN"/>
        </w:rPr>
        <w:t>支出决算为102万元，完成预算100%。</w:t>
      </w:r>
    </w:p>
    <w:p>
      <w:p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bCs w:val="0"/>
          <w:color w:val="000000"/>
          <w:sz w:val="32"/>
          <w:szCs w:val="32"/>
          <w:lang w:val="en-US" w:eastAsia="zh-CN"/>
        </w:rPr>
        <w:t>8、农林水支出（类）扶贫（款）其他扶贫支出（项）：</w:t>
      </w:r>
      <w:r>
        <w:rPr>
          <w:rStyle w:val="15"/>
          <w:rFonts w:hint="eastAsia" w:ascii="仿宋" w:hAnsi="仿宋" w:eastAsia="仿宋"/>
          <w:b w:val="0"/>
          <w:bCs/>
          <w:color w:val="000000"/>
          <w:sz w:val="32"/>
          <w:szCs w:val="32"/>
          <w:lang w:val="en-US" w:eastAsia="zh-CN"/>
        </w:rPr>
        <w:t>支出决算为4.8万元，完成预算的 100%。</w:t>
      </w:r>
    </w:p>
    <w:bookmarkEnd w:id="34"/>
    <w:bookmarkEnd w:id="35"/>
    <w:p>
      <w:pPr>
        <w:spacing w:line="600" w:lineRule="exact"/>
        <w:ind w:firstLine="640" w:firstLineChars="200"/>
        <w:rPr>
          <w:rStyle w:val="26"/>
        </w:rPr>
      </w:pPr>
      <w:bookmarkStart w:id="42" w:name="_Toc15396609"/>
      <w:bookmarkStart w:id="43" w:name="_Toc1537721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453.44</w:t>
      </w:r>
      <w:r>
        <w:rPr>
          <w:rFonts w:hint="eastAsia" w:ascii="仿宋" w:hAnsi="仿宋" w:eastAsia="仿宋"/>
          <w:color w:val="000000"/>
          <w:sz w:val="32"/>
          <w:szCs w:val="32"/>
        </w:rPr>
        <w:t>万元，其中：</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315.87</w:t>
      </w:r>
      <w:r>
        <w:rPr>
          <w:rFonts w:hint="eastAsia" w:ascii="仿宋" w:hAnsi="仿宋" w:eastAsia="仿宋"/>
          <w:color w:val="000000"/>
          <w:sz w:val="32"/>
          <w:szCs w:val="32"/>
        </w:rPr>
        <w:t>万元，主要包括：基本工资、津贴补贴、奖金、绩效工资、机关事业单位基本养老保险缴费、职业年金缴费、其他社会保障缴费、其他工资福利支出、离休费、退休费、抚恤金、生活补助等。</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137.57</w:t>
      </w:r>
      <w:r>
        <w:rPr>
          <w:rFonts w:hint="eastAsia" w:ascii="仿宋" w:hAnsi="仿宋" w:eastAsia="仿宋"/>
          <w:color w:val="000000"/>
          <w:sz w:val="32"/>
          <w:szCs w:val="32"/>
        </w:rPr>
        <w:t>万元，主要包括：办公费、印刷费、咨询费、水费、电费、邮电费、物业管理费、差旅费、维修（护）费、租赁费、会议费、培训费、公务接待费、劳务费、工会经费、福利费、公务用车运行维护费、其他交通费、税金及附加费用、其他商品和服务支出等。</w:t>
      </w:r>
    </w:p>
    <w:bookmarkEnd w:id="42"/>
    <w:bookmarkEnd w:id="43"/>
    <w:p>
      <w:pPr>
        <w:spacing w:line="600" w:lineRule="exact"/>
        <w:ind w:firstLine="640"/>
        <w:outlineLvl w:val="1"/>
        <w:rPr>
          <w:rStyle w:val="26"/>
          <w:rFonts w:ascii="黑体" w:hAnsi="黑体" w:eastAsia="黑体"/>
          <w:b w:val="0"/>
        </w:rPr>
      </w:pPr>
      <w:bookmarkStart w:id="44" w:name="_Toc15377218"/>
      <w:bookmarkStart w:id="45" w:name="_Toc15396610"/>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600" w:lineRule="exact"/>
        <w:ind w:firstLine="640" w:firstLineChars="200"/>
        <w:rPr>
          <w:rFonts w:hint="eastAsia"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62</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_GB2312" w:eastAsia="仿宋_GB2312"/>
          <w:color w:val="000000"/>
          <w:sz w:val="32"/>
          <w:szCs w:val="32"/>
          <w:highlight w:val="none"/>
          <w:lang w:eastAsia="zh-CN"/>
        </w:rPr>
        <w:t>根据（党政机关厉行节约反对浪费条例）的规</w:t>
      </w:r>
      <w:bookmarkStart w:id="68" w:name="_GoBack"/>
      <w:bookmarkEnd w:id="68"/>
      <w:r>
        <w:rPr>
          <w:rFonts w:hint="eastAsia" w:ascii="仿宋_GB2312" w:eastAsia="仿宋_GB2312"/>
          <w:color w:val="000000"/>
          <w:sz w:val="32"/>
          <w:szCs w:val="32"/>
          <w:highlight w:val="none"/>
          <w:lang w:eastAsia="zh-CN"/>
        </w:rPr>
        <w:t>定，“三公”</w:t>
      </w:r>
      <w:r>
        <w:rPr>
          <w:rFonts w:hint="eastAsia" w:ascii="仿宋_GB2312" w:eastAsia="仿宋_GB2312"/>
          <w:color w:val="000000"/>
          <w:sz w:val="32"/>
          <w:szCs w:val="32"/>
          <w:lang w:eastAsia="zh-CN"/>
        </w:rPr>
        <w:t>经费不低于</w:t>
      </w:r>
      <w:r>
        <w:rPr>
          <w:rFonts w:hint="eastAsia" w:ascii="仿宋_GB2312" w:eastAsia="仿宋_GB2312"/>
          <w:color w:val="000000"/>
          <w:sz w:val="32"/>
          <w:szCs w:val="32"/>
          <w:lang w:val="en-US" w:eastAsia="zh-CN"/>
        </w:rPr>
        <w:t>3%的比例压减。</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年，我局严格按照八项规定执行，年初制定了《平昌县医疗</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局厉行节约反对浪费工作责任追究制》，并明确规定了平昌县医疗</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局公务接待办理办法。</w:t>
      </w:r>
    </w:p>
    <w:p>
      <w:pPr>
        <w:spacing w:line="600" w:lineRule="exact"/>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spacing w:line="600" w:lineRule="exact"/>
        <w:ind w:firstLine="640"/>
        <w:rPr>
          <w:rFonts w:ascii="仿宋_GB2312" w:eastAsia="仿宋_GB2312"/>
          <w:b/>
          <w:color w:val="000000"/>
          <w:sz w:val="32"/>
          <w:szCs w:val="32"/>
          <w:lang w:val="en-US"/>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highlight w:val="none"/>
          <w:lang w:eastAsia="zh-CN"/>
        </w:rPr>
        <w:t>减少</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公务用车运行维护费支出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highlight w:val="none"/>
          <w:lang w:val="en-US" w:eastAsia="zh-CN"/>
        </w:rPr>
        <w:t>3.</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0.5</w:t>
      </w:r>
      <w:r>
        <w:rPr>
          <w:rFonts w:hint="eastAsia" w:ascii="仿宋_GB2312" w:eastAsia="仿宋_GB2312"/>
          <w:color w:val="000000"/>
          <w:sz w:val="32"/>
          <w:szCs w:val="32"/>
          <w:highlight w:val="none"/>
        </w:rPr>
        <w:t>万元，</w:t>
      </w:r>
      <w:r>
        <w:rPr>
          <w:rStyle w:val="15"/>
          <w:rFonts w:hint="eastAsia" w:ascii="仿宋" w:hAnsi="仿宋" w:eastAsia="仿宋"/>
          <w:b w:val="0"/>
          <w:bCs/>
          <w:color w:val="000000"/>
          <w:sz w:val="32"/>
          <w:szCs w:val="32"/>
          <w:highlight w:val="none"/>
        </w:rPr>
        <w:t>完成预算</w:t>
      </w:r>
      <w:r>
        <w:rPr>
          <w:rStyle w:val="15"/>
          <w:rFonts w:hint="eastAsia" w:ascii="仿宋" w:hAnsi="仿宋" w:eastAsia="仿宋"/>
          <w:b w:val="0"/>
          <w:bCs/>
          <w:color w:val="000000"/>
          <w:sz w:val="32"/>
          <w:szCs w:val="32"/>
          <w:highlight w:val="none"/>
          <w:lang w:val="en-US" w:eastAsia="zh-CN"/>
        </w:rPr>
        <w:t>62</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hint="eastAsia" w:ascii="仿宋_GB2312" w:eastAsia="仿宋_GB2312"/>
          <w:color w:val="000000"/>
          <w:sz w:val="32"/>
          <w:szCs w:val="32"/>
          <w:highlight w:val="none"/>
          <w:lang w:val="en-US" w:eastAsia="zh-CN"/>
        </w:rPr>
        <w:t>2018年</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0.05</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9.09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根据（党政机关厉行节约反对浪费条例）的规定，“三公”</w:t>
      </w:r>
      <w:r>
        <w:rPr>
          <w:rFonts w:hint="eastAsia" w:ascii="仿宋_GB2312" w:eastAsia="仿宋_GB2312"/>
          <w:color w:val="000000"/>
          <w:sz w:val="32"/>
          <w:szCs w:val="32"/>
          <w:lang w:eastAsia="zh-CN"/>
        </w:rPr>
        <w:t>经费不低于</w:t>
      </w:r>
      <w:r>
        <w:rPr>
          <w:rFonts w:hint="eastAsia" w:ascii="仿宋_GB2312" w:eastAsia="仿宋_GB2312"/>
          <w:color w:val="000000"/>
          <w:sz w:val="32"/>
          <w:szCs w:val="32"/>
          <w:lang w:val="en-US" w:eastAsia="zh-CN"/>
        </w:rPr>
        <w:t>3%的比例压减。</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年，我局严格按照八项规定执行，年初制定了《平昌县医疗</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局厉行节约反对浪费工作责任追究制》，并明确规定了平昌县医疗</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局公务接待办理办法。</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 w:hAnsi="仿宋" w:eastAsia="仿宋"/>
          <w:b/>
          <w:color w:val="000000"/>
          <w:sz w:val="32"/>
          <w:szCs w:val="32"/>
          <w:highlight w:val="none"/>
        </w:rPr>
        <w:t>国内公务接待支出</w:t>
      </w:r>
      <w:r>
        <w:rPr>
          <w:rFonts w:hint="eastAsia" w:ascii="仿宋" w:hAnsi="仿宋" w:eastAsia="仿宋"/>
          <w:color w:val="000000"/>
          <w:sz w:val="32"/>
          <w:szCs w:val="32"/>
          <w:highlight w:val="none"/>
          <w:lang w:val="en-US" w:eastAsia="zh-CN"/>
        </w:rPr>
        <w:t>0.5</w:t>
      </w:r>
      <w:r>
        <w:rPr>
          <w:rFonts w:hint="eastAsia" w:ascii="仿宋_GB2312" w:eastAsia="仿宋_GB2312"/>
          <w:color w:val="000000"/>
          <w:sz w:val="32"/>
          <w:szCs w:val="32"/>
          <w:highlight w:val="none"/>
        </w:rPr>
        <w:t>万元，主要用于执行公务、开展业务活动开支的交通费、住宿费、用餐费等。国内公务接待</w:t>
      </w:r>
      <w:r>
        <w:rPr>
          <w:rFonts w:hint="eastAsia" w:ascii="仿宋_GB2312" w:eastAsia="仿宋_GB2312"/>
          <w:color w:val="000000"/>
          <w:sz w:val="32"/>
          <w:szCs w:val="32"/>
          <w:highlight w:val="none"/>
          <w:lang w:val="en-US" w:eastAsia="zh-CN"/>
        </w:rPr>
        <w:t>16</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54</w:t>
      </w:r>
      <w:r>
        <w:rPr>
          <w:rFonts w:hint="eastAsia" w:ascii="仿宋_GB2312" w:eastAsia="仿宋_GB2312"/>
          <w:color w:val="000000"/>
          <w:sz w:val="32"/>
          <w:szCs w:val="32"/>
          <w:highlight w:val="none"/>
        </w:rPr>
        <w:t>人次（不包括陪同人员），共计支出</w:t>
      </w:r>
      <w:r>
        <w:rPr>
          <w:rFonts w:hint="eastAsia" w:ascii="仿宋_GB2312" w:eastAsia="仿宋_GB2312"/>
          <w:color w:val="000000"/>
          <w:sz w:val="32"/>
          <w:szCs w:val="32"/>
          <w:highlight w:val="none"/>
          <w:lang w:val="en-US" w:eastAsia="zh-CN"/>
        </w:rPr>
        <w:t>0.5</w:t>
      </w:r>
      <w:r>
        <w:rPr>
          <w:rFonts w:hint="eastAsia" w:ascii="仿宋_GB2312" w:eastAsia="仿宋_GB2312"/>
          <w:color w:val="000000"/>
          <w:sz w:val="32"/>
          <w:szCs w:val="32"/>
          <w:highlight w:val="none"/>
        </w:rPr>
        <w:t>万元，具体内容包括：具体内容包括：1、医保基金风险评估检查2批次，</w:t>
      </w:r>
      <w:r>
        <w:rPr>
          <w:rFonts w:hint="eastAsia" w:ascii="仿宋_GB2312" w:eastAsia="仿宋_GB2312"/>
          <w:color w:val="000000"/>
          <w:sz w:val="32"/>
          <w:szCs w:val="32"/>
          <w:highlight w:val="none"/>
          <w:lang w:val="en-US" w:eastAsia="zh-CN"/>
        </w:rPr>
        <w:t>18</w:t>
      </w:r>
      <w:r>
        <w:rPr>
          <w:rFonts w:hint="eastAsia" w:ascii="仿宋_GB2312" w:eastAsia="仿宋_GB2312"/>
          <w:color w:val="000000"/>
          <w:sz w:val="32"/>
          <w:szCs w:val="32"/>
          <w:highlight w:val="none"/>
        </w:rPr>
        <w:t>人次，共计支出0.1</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万元；2、医保基金征收工作</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12</w:t>
      </w:r>
      <w:r>
        <w:rPr>
          <w:rFonts w:hint="eastAsia" w:ascii="仿宋_GB2312" w:eastAsia="仿宋_GB2312"/>
          <w:color w:val="000000"/>
          <w:sz w:val="32"/>
          <w:szCs w:val="32"/>
          <w:highlight w:val="none"/>
        </w:rPr>
        <w:t>人次，共计支出0.</w:t>
      </w:r>
      <w:r>
        <w:rPr>
          <w:rFonts w:hint="eastAsia" w:ascii="仿宋_GB2312" w:eastAsia="仿宋_GB2312"/>
          <w:color w:val="000000"/>
          <w:sz w:val="32"/>
          <w:szCs w:val="32"/>
          <w:highlight w:val="none"/>
          <w:lang w:val="en-US" w:eastAsia="zh-CN"/>
        </w:rPr>
        <w:t>09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、医保风险管控交叉检查</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批次，9人次，共计支出0.</w:t>
      </w:r>
      <w:r>
        <w:rPr>
          <w:rFonts w:hint="eastAsia" w:ascii="仿宋_GB2312" w:eastAsia="仿宋_GB2312"/>
          <w:color w:val="000000"/>
          <w:sz w:val="32"/>
          <w:szCs w:val="32"/>
          <w:highlight w:val="none"/>
          <w:lang w:val="en-US" w:eastAsia="zh-CN"/>
        </w:rPr>
        <w:t>12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医院及</w:t>
      </w:r>
      <w:r>
        <w:rPr>
          <w:rFonts w:hint="eastAsia" w:ascii="仿宋_GB2312" w:eastAsia="仿宋_GB2312"/>
          <w:color w:val="000000"/>
          <w:sz w:val="32"/>
          <w:szCs w:val="32"/>
          <w:highlight w:val="none"/>
        </w:rPr>
        <w:t>定点药店检查</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人次，共计支出0.</w:t>
      </w:r>
      <w:r>
        <w:rPr>
          <w:rFonts w:hint="eastAsia" w:ascii="仿宋_GB2312" w:eastAsia="仿宋_GB2312"/>
          <w:color w:val="000000"/>
          <w:sz w:val="32"/>
          <w:szCs w:val="32"/>
          <w:highlight w:val="none"/>
          <w:lang w:val="en-US" w:eastAsia="zh-CN"/>
        </w:rPr>
        <w:t>16</w:t>
      </w:r>
      <w:r>
        <w:rPr>
          <w:rFonts w:hint="eastAsia" w:ascii="仿宋_GB2312" w:eastAsia="仿宋_GB2312"/>
          <w:color w:val="000000"/>
          <w:sz w:val="32"/>
          <w:szCs w:val="32"/>
          <w:highlight w:val="none"/>
        </w:rPr>
        <w:t>万元。</w:t>
      </w:r>
    </w:p>
    <w:p>
      <w:pPr>
        <w:spacing w:line="60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eastAsia="zh-CN"/>
          <w14:textFill>
            <w14:solidFill>
              <w14:schemeClr w14:val="tx1"/>
            </w14:solidFill>
          </w14:textFill>
        </w:rPr>
        <w:t>共</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bookmarkEnd w:id="44"/>
    <w:bookmarkEnd w:id="45"/>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4"/>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6"/>
          <w:rFonts w:ascii="黑体" w:hAnsi="黑体" w:eastAsia="黑体"/>
        </w:rPr>
      </w:pPr>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lang w:val="en-US" w:eastAsia="zh-CN"/>
        </w:rPr>
        <w:t>医疗保障局</w:t>
      </w:r>
      <w:r>
        <w:rPr>
          <w:rFonts w:hint="eastAsia" w:ascii="仿宋_GB2312" w:eastAsia="仿宋_GB2312"/>
          <w:color w:val="000000"/>
          <w:sz w:val="32"/>
          <w:szCs w:val="32"/>
        </w:rPr>
        <w:t>机关运行经费支</w:t>
      </w:r>
      <w:r>
        <w:rPr>
          <w:rFonts w:hint="eastAsia" w:ascii="仿宋_GB2312" w:eastAsia="仿宋_GB2312"/>
          <w:color w:val="000000"/>
          <w:sz w:val="32"/>
          <w:szCs w:val="32"/>
          <w:lang w:eastAsia="zh-CN"/>
        </w:rPr>
        <w:t>出</w:t>
      </w:r>
      <w:r>
        <w:rPr>
          <w:rFonts w:hint="eastAsia" w:ascii="仿宋_GB2312" w:eastAsia="仿宋_GB2312"/>
          <w:color w:val="000000"/>
          <w:sz w:val="32"/>
          <w:szCs w:val="32"/>
          <w:lang w:val="en-US" w:eastAsia="zh-CN"/>
        </w:rPr>
        <w:t>137.56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3.35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医疗保障政策宣传、</w:t>
      </w:r>
      <w:r>
        <w:rPr>
          <w:rFonts w:hint="eastAsia" w:eastAsia="仿宋_GB2312"/>
          <w:sz w:val="32"/>
          <w:szCs w:val="32"/>
          <w:lang w:eastAsia="zh-CN"/>
        </w:rPr>
        <w:t>脱贫攻坚差旅费增加。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lang w:val="en-US" w:eastAsia="zh-CN"/>
        </w:rPr>
        <w:t>平昌县医疗保障局</w:t>
      </w:r>
      <w:r>
        <w:rPr>
          <w:rFonts w:hint="eastAsia" w:ascii="仿宋_GB2312" w:eastAsia="仿宋_GB2312"/>
          <w:color w:val="000000"/>
          <w:sz w:val="32"/>
          <w:szCs w:val="32"/>
          <w:lang w:val="en-US" w:eastAsia="zh-CN"/>
        </w:rPr>
        <w:t>政</w:t>
      </w:r>
      <w:r>
        <w:rPr>
          <w:rFonts w:hint="eastAsia" w:ascii="仿宋_GB2312" w:eastAsia="仿宋_GB2312"/>
          <w:color w:val="000000"/>
          <w:sz w:val="32"/>
          <w:szCs w:val="32"/>
        </w:rPr>
        <w:t>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0" w:name="_Toc15377224"/>
      <w:r>
        <w:rPr>
          <w:rFonts w:hint="eastAsia" w:ascii="仿宋" w:hAnsi="仿宋" w:eastAsia="仿宋"/>
          <w:b/>
          <w:color w:val="000000"/>
          <w:sz w:val="32"/>
          <w:szCs w:val="32"/>
          <w:highlight w:val="none"/>
        </w:rPr>
        <w:t>（三）国有资产占有使用情况</w:t>
      </w:r>
      <w:bookmarkEnd w:id="50"/>
    </w:p>
    <w:p>
      <w:pPr>
        <w:autoSpaceDE w:val="0"/>
        <w:autoSpaceDN w:val="0"/>
        <w:adjustRightInd w:val="0"/>
        <w:spacing w:line="600" w:lineRule="exact"/>
        <w:ind w:firstLine="640" w:firstLineChars="200"/>
        <w:jc w:val="left"/>
        <w:rPr>
          <w:rFonts w:ascii="方正小标宋简体" w:hAnsi="方正小标宋简体" w:eastAsia="方正小标宋简体" w:cs="方正小标宋简体"/>
          <w:sz w:val="44"/>
          <w:szCs w:val="44"/>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val="en-US" w:eastAsia="zh-CN"/>
        </w:rPr>
        <w:t>平昌县医疗保障局</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金保网络使用费</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eastAsia="zh-CN"/>
        </w:rPr>
        <w:t>外伤调查等经费</w:t>
      </w:r>
      <w:r>
        <w:rPr>
          <w:rFonts w:hint="eastAsia" w:ascii="仿宋_GB2312" w:hAnsi="仿宋_GB2312" w:eastAsia="仿宋_GB2312" w:cs="仿宋_GB2312"/>
          <w:sz w:val="32"/>
          <w:szCs w:val="32"/>
        </w:rPr>
        <w:t>编制了绩效目标，预算执行过程中，选取</w:t>
      </w:r>
      <w:r>
        <w:rPr>
          <w:rFonts w:hint="eastAsia" w:ascii="仿宋_GB2312" w:hAnsi="仿宋_GB2312" w:eastAsia="仿宋_GB2312" w:cs="仿宋_GB2312"/>
          <w:sz w:val="32"/>
          <w:szCs w:val="32"/>
          <w:lang w:eastAsia="zh-CN"/>
        </w:rPr>
        <w:t>金保网络使用费</w:t>
      </w:r>
      <w:r>
        <w:rPr>
          <w:rFonts w:hint="eastAsia" w:ascii="仿宋_GB2312" w:hAnsi="仿宋_GB2312" w:eastAsia="仿宋_GB2312" w:cs="仿宋_GB2312"/>
          <w:sz w:val="32"/>
          <w:szCs w:val="32"/>
        </w:rPr>
        <w:t>开展绩效监控，年终执行完毕后，对</w:t>
      </w:r>
      <w:r>
        <w:rPr>
          <w:rFonts w:hint="eastAsia" w:ascii="仿宋_GB2312" w:hAnsi="仿宋_GB2312" w:eastAsia="仿宋_GB2312" w:cs="仿宋_GB2312"/>
          <w:sz w:val="32"/>
          <w:szCs w:val="32"/>
          <w:lang w:eastAsia="zh-CN"/>
        </w:rPr>
        <w:t>外伤调查等经费</w:t>
      </w:r>
      <w:r>
        <w:rPr>
          <w:rFonts w:hint="eastAsia" w:ascii="仿宋_GB2312" w:hAnsi="仿宋_GB2312" w:eastAsia="仿宋_GB2312" w:cs="仿宋_GB2312"/>
          <w:sz w:val="32"/>
          <w:szCs w:val="32"/>
        </w:rPr>
        <w:t>开展了绩效目标完成情况自评。</w:t>
      </w:r>
    </w:p>
    <w:p>
      <w:pPr>
        <w:numPr>
          <w:ilvl w:val="0"/>
          <w:numId w:val="0"/>
        </w:numPr>
        <w:spacing w:line="580" w:lineRule="exact"/>
        <w:ind w:firstLine="960" w:firstLineChars="3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1.项目绩效目标完成情况。</w:t>
      </w:r>
    </w:p>
    <w:p>
      <w:pPr>
        <w:numPr>
          <w:ilvl w:val="0"/>
          <w:numId w:val="0"/>
        </w:num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金保网络使用费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“外伤调查经费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第一书记驻村经费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）、金保网络使用费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了患者合法权益，促进医疗保障事业健康发展，提高了异地结算效率，</w:t>
      </w:r>
      <w:r>
        <w:rPr>
          <w:rFonts w:hint="eastAsia" w:ascii="仿宋_GB2312" w:eastAsia="仿宋_GB2312"/>
          <w:color w:val="000000"/>
          <w:sz w:val="32"/>
          <w:szCs w:val="32"/>
        </w:rPr>
        <w:t>最大限度地利用网络资源满足服务对象日益增长方便快捷的服务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财政投入资金偏低，不能满足各项支出需要</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完善网络建设，扩大服务范围。</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）、外伤调查经费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eastAsia="仿宋_GB2312"/>
          <w:color w:val="000000"/>
          <w:sz w:val="32"/>
          <w:szCs w:val="32"/>
          <w:lang w:eastAsia="zh-CN"/>
        </w:rPr>
        <w:t>了患者合法权益</w:t>
      </w:r>
      <w:r>
        <w:rPr>
          <w:rFonts w:hint="eastAsia" w:ascii="仿宋_GB2312" w:eastAsia="仿宋_GB2312"/>
          <w:color w:val="000000"/>
          <w:sz w:val="32"/>
          <w:szCs w:val="32"/>
        </w:rPr>
        <w:t>，</w:t>
      </w:r>
      <w:r>
        <w:rPr>
          <w:rFonts w:hint="eastAsia" w:ascii="仿宋_GB2312" w:eastAsia="仿宋_GB2312"/>
          <w:color w:val="000000"/>
          <w:sz w:val="32"/>
          <w:szCs w:val="32"/>
          <w:lang w:eastAsia="zh-CN"/>
        </w:rPr>
        <w:t>方便</w:t>
      </w:r>
      <w:r>
        <w:rPr>
          <w:rFonts w:hint="eastAsia" w:ascii="仿宋_GB2312" w:eastAsia="仿宋_GB2312"/>
          <w:color w:val="000000"/>
          <w:sz w:val="32"/>
          <w:szCs w:val="32"/>
        </w:rPr>
        <w:t>了解参保人员住院情况，杜绝违反医保政策情况的发生，</w:t>
      </w:r>
      <w:r>
        <w:rPr>
          <w:rFonts w:hint="eastAsia" w:ascii="仿宋_GB2312" w:eastAsia="仿宋_GB2312"/>
          <w:color w:val="000000"/>
          <w:sz w:val="32"/>
          <w:szCs w:val="32"/>
          <w:lang w:eastAsia="zh-CN"/>
        </w:rPr>
        <w:t>促进医疗保障事业健康发展，提高了医疗保障基金使用效率。</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）、第一书记驻村工作经费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了驻村工作人员扶贫工作的正常开展，使帮扶村按要求出列，提高了群众满意度。</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2.部门绩效评价结果。</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本部门未开展项目绩效评价。</w:t>
      </w:r>
    </w:p>
    <w:p>
      <w:pPr>
        <w:spacing w:line="580" w:lineRule="exact"/>
        <w:ind w:firstLine="640" w:firstLineChars="200"/>
        <w:rPr>
          <w:rFonts w:hint="eastAsia" w:ascii="楷体_GB2312" w:hAnsi="楷体_GB2312" w:eastAsia="楷体_GB2312" w:cs="楷体_GB2312"/>
          <w:sz w:val="32"/>
          <w:szCs w:val="32"/>
          <w:lang w:eastAsia="zh-CN"/>
        </w:rPr>
      </w:pPr>
    </w:p>
    <w:p>
      <w:pPr>
        <w:pageBreakBefore w:val="0"/>
        <w:numPr>
          <w:ilvl w:val="0"/>
          <w:numId w:val="5"/>
        </w:numPr>
        <w:kinsoku/>
        <w:wordWrap/>
        <w:overflowPunct/>
        <w:topLinePunct w:val="0"/>
        <w:bidi w:val="0"/>
        <w:spacing w:line="560" w:lineRule="exact"/>
        <w:ind w:firstLine="663" w:firstLineChars="150"/>
        <w:jc w:val="center"/>
        <w:outlineLvl w:val="0"/>
        <w:rPr>
          <w:rStyle w:val="25"/>
          <w:rFonts w:hint="default" w:ascii="Times New Roman" w:hAnsi="Times New Roman" w:eastAsia="黑体" w:cs="Times New Roman"/>
          <w:b w:val="0"/>
        </w:rPr>
      </w:pPr>
      <w:bookmarkStart w:id="51" w:name="_Toc15396613"/>
      <w:bookmarkStart w:id="52" w:name="_Toc15377225"/>
      <w:r>
        <w:rPr>
          <w:rFonts w:hint="default" w:ascii="Times New Roman" w:hAnsi="Times New Roman" w:eastAsia="黑体" w:cs="Times New Roman"/>
          <w:b/>
          <w:color w:val="000000"/>
          <w:sz w:val="44"/>
          <w:szCs w:val="44"/>
        </w:rPr>
        <w:t>名</w:t>
      </w:r>
      <w:r>
        <w:rPr>
          <w:rStyle w:val="25"/>
          <w:rFonts w:hint="default" w:ascii="Times New Roman" w:hAnsi="Times New Roman" w:eastAsia="黑体" w:cs="Times New Roman"/>
          <w:b w:val="0"/>
        </w:rPr>
        <w:t>词解释</w:t>
      </w:r>
      <w:bookmarkEnd w:id="51"/>
      <w:bookmarkEnd w:id="52"/>
    </w:p>
    <w:p>
      <w:pPr>
        <w:pageBreakBefore w:val="0"/>
        <w:kinsoku/>
        <w:wordWrap/>
        <w:overflowPunct/>
        <w:topLinePunct w:val="0"/>
        <w:bidi w:val="0"/>
        <w:spacing w:line="560" w:lineRule="exact"/>
        <w:jc w:val="left"/>
        <w:rPr>
          <w:rFonts w:hint="default" w:ascii="Times New Roman" w:hAnsi="Times New Roman" w:cs="Times New Roman"/>
          <w:b/>
          <w:color w:val="000000"/>
          <w:sz w:val="44"/>
          <w:szCs w:val="44"/>
        </w:rPr>
      </w:pPr>
    </w:p>
    <w:p>
      <w:pPr>
        <w:pStyle w:val="23"/>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pStyle w:val="23"/>
        <w:pageBreakBefore w:val="0"/>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sz w:val="32"/>
          <w:szCs w:val="32"/>
          <w:lang w:eastAsia="zh-CN"/>
        </w:rPr>
        <w:t>。</w:t>
      </w:r>
    </w:p>
    <w:p>
      <w:pPr>
        <w:pStyle w:val="23"/>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bookmarkStart w:id="53" w:name="_Toc15396614"/>
      <w:bookmarkStart w:id="54" w:name="_Toc15377226"/>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br w:type="page"/>
      </w:r>
    </w:p>
    <w:bookmarkEnd w:id="53"/>
    <w:bookmarkEnd w:id="54"/>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Fonts w:hint="eastAsia" w:ascii="黑体" w:hAnsi="黑体" w:eastAsia="黑体"/>
          <w:color w:val="000000"/>
          <w:sz w:val="44"/>
          <w:szCs w:val="44"/>
          <w:lang w:eastAsia="zh-CN"/>
        </w:rPr>
        <w:t>四</w:t>
      </w:r>
      <w:r>
        <w:rPr>
          <w:rStyle w:val="25"/>
          <w:rFonts w:hint="eastAsia" w:ascii="黑体" w:hAnsi="黑体" w:eastAsia="黑体"/>
          <w:b w:val="0"/>
        </w:rPr>
        <w:t>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5"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5"/>
    </w:p>
    <w:p>
      <w:pPr>
        <w:pStyle w:val="3"/>
        <w:rPr>
          <w:rFonts w:ascii="仿宋" w:hAnsi="仿宋" w:eastAsia="仿宋"/>
          <w:color w:val="000000"/>
        </w:rPr>
      </w:pPr>
      <w:bookmarkStart w:id="56"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6"/>
    </w:p>
    <w:p>
      <w:pPr>
        <w:pStyle w:val="3"/>
        <w:rPr>
          <w:rFonts w:ascii="仿宋" w:hAnsi="仿宋" w:eastAsia="仿宋"/>
          <w:color w:val="000000"/>
        </w:rPr>
      </w:pPr>
      <w:bookmarkStart w:id="57"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7"/>
    </w:p>
    <w:p>
      <w:pPr>
        <w:pStyle w:val="3"/>
        <w:rPr>
          <w:rFonts w:ascii="仿宋" w:hAnsi="仿宋" w:eastAsia="仿宋"/>
          <w:b w:val="0"/>
          <w:color w:val="000000"/>
        </w:rPr>
      </w:pPr>
      <w:bookmarkStart w:id="58"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8"/>
    </w:p>
    <w:p>
      <w:pPr>
        <w:pStyle w:val="3"/>
        <w:rPr>
          <w:rStyle w:val="26"/>
          <w:rFonts w:ascii="仿宋" w:hAnsi="仿宋" w:eastAsia="仿宋"/>
          <w:b w:val="0"/>
          <w:bCs w:val="0"/>
        </w:rPr>
      </w:pPr>
      <w:bookmarkStart w:id="59"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59"/>
      <w:bookmarkStart w:id="60"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0"/>
    </w:p>
    <w:p>
      <w:pPr>
        <w:pStyle w:val="3"/>
        <w:rPr>
          <w:rFonts w:ascii="仿宋" w:hAnsi="仿宋" w:eastAsia="仿宋"/>
          <w:color w:val="000000"/>
        </w:rPr>
      </w:pPr>
      <w:bookmarkStart w:id="61"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1"/>
    </w:p>
    <w:p>
      <w:pPr>
        <w:pStyle w:val="3"/>
        <w:rPr>
          <w:rFonts w:ascii="仿宋" w:hAnsi="仿宋" w:eastAsia="仿宋"/>
          <w:color w:val="000000"/>
        </w:rPr>
      </w:pPr>
      <w:bookmarkStart w:id="62"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2"/>
    </w:p>
    <w:p>
      <w:pPr>
        <w:pStyle w:val="3"/>
        <w:rPr>
          <w:rFonts w:ascii="仿宋" w:hAnsi="仿宋" w:eastAsia="仿宋"/>
          <w:color w:val="000000"/>
        </w:rPr>
      </w:pPr>
      <w:bookmarkStart w:id="63"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3"/>
    </w:p>
    <w:p>
      <w:pPr>
        <w:pStyle w:val="3"/>
        <w:rPr>
          <w:rFonts w:ascii="仿宋" w:hAnsi="仿宋" w:eastAsia="仿宋"/>
          <w:color w:val="000000"/>
        </w:rPr>
      </w:pPr>
      <w:bookmarkStart w:id="64"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4"/>
    </w:p>
    <w:p>
      <w:pPr>
        <w:pStyle w:val="3"/>
        <w:rPr>
          <w:rFonts w:ascii="仿宋" w:hAnsi="仿宋" w:eastAsia="仿宋"/>
          <w:color w:val="000000"/>
        </w:rPr>
      </w:pPr>
      <w:bookmarkStart w:id="65"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5"/>
    </w:p>
    <w:p>
      <w:pPr>
        <w:pStyle w:val="3"/>
        <w:rPr>
          <w:rFonts w:ascii="仿宋" w:hAnsi="仿宋" w:eastAsia="仿宋"/>
          <w:color w:val="000000"/>
        </w:rPr>
      </w:pPr>
      <w:bookmarkStart w:id="66"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6"/>
    </w:p>
    <w:p>
      <w:pPr>
        <w:pStyle w:val="3"/>
        <w:rPr>
          <w:rFonts w:ascii="仿宋" w:hAnsi="仿宋" w:eastAsia="仿宋"/>
          <w:color w:val="000000" w:themeColor="text1"/>
          <w14:textFill>
            <w14:solidFill>
              <w14:schemeClr w14:val="tx1"/>
            </w14:solidFill>
          </w14:textFill>
        </w:rPr>
      </w:pPr>
      <w:bookmarkStart w:id="67"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7"/>
    </w:p>
    <w:p>
      <w:pPr>
        <w:rPr>
          <w:rStyle w:val="26"/>
          <w:rFonts w:hint="default" w:eastAsia="仿宋" w:cs="Times New Roman"/>
          <w:b w:val="0"/>
          <w:bCs w:val="0"/>
          <w:lang w:val="en-US"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EEF12"/>
    <w:multiLevelType w:val="singleLevel"/>
    <w:tmpl w:val="A11EEF12"/>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27EDCE4"/>
    <w:multiLevelType w:val="singleLevel"/>
    <w:tmpl w:val="D27EDCE4"/>
    <w:lvl w:ilvl="0" w:tentative="0">
      <w:start w:val="1"/>
      <w:numFmt w:val="decimal"/>
      <w:suff w:val="space"/>
      <w:lvlText w:val="%1."/>
      <w:lvlJc w:val="left"/>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7B7B5C27"/>
    <w:multiLevelType w:val="singleLevel"/>
    <w:tmpl w:val="7B7B5C27"/>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mQwZmM4ODljOWE1NGM3MTMwZjQ0YmFmMGNiOGI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6A34"/>
    <w:rsid w:val="00157BAB"/>
    <w:rsid w:val="001654D1"/>
    <w:rsid w:val="0018106D"/>
    <w:rsid w:val="001877A7"/>
    <w:rsid w:val="00191536"/>
    <w:rsid w:val="00196687"/>
    <w:rsid w:val="001C0962"/>
    <w:rsid w:val="001D42E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42743"/>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10F6"/>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712B"/>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0B2"/>
    <w:rsid w:val="009315F9"/>
    <w:rsid w:val="00946945"/>
    <w:rsid w:val="00951248"/>
    <w:rsid w:val="0095152F"/>
    <w:rsid w:val="00954C49"/>
    <w:rsid w:val="0097099F"/>
    <w:rsid w:val="00971997"/>
    <w:rsid w:val="00971FFC"/>
    <w:rsid w:val="00974114"/>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04B1"/>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7754"/>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0D3BD4"/>
    <w:rsid w:val="01404B2F"/>
    <w:rsid w:val="01523498"/>
    <w:rsid w:val="01596FB3"/>
    <w:rsid w:val="019F3AB5"/>
    <w:rsid w:val="01E55A5F"/>
    <w:rsid w:val="021C2B27"/>
    <w:rsid w:val="02655A6F"/>
    <w:rsid w:val="02847A35"/>
    <w:rsid w:val="02A75482"/>
    <w:rsid w:val="02B60977"/>
    <w:rsid w:val="02EB1004"/>
    <w:rsid w:val="0365529F"/>
    <w:rsid w:val="03AD6241"/>
    <w:rsid w:val="03B206B1"/>
    <w:rsid w:val="03C61BEC"/>
    <w:rsid w:val="04232A16"/>
    <w:rsid w:val="047E30E0"/>
    <w:rsid w:val="04F73C27"/>
    <w:rsid w:val="051B663D"/>
    <w:rsid w:val="05235458"/>
    <w:rsid w:val="05442C82"/>
    <w:rsid w:val="057D1182"/>
    <w:rsid w:val="05A14D09"/>
    <w:rsid w:val="05DF2BD8"/>
    <w:rsid w:val="05F87221"/>
    <w:rsid w:val="06E61928"/>
    <w:rsid w:val="06F133DA"/>
    <w:rsid w:val="072C41A8"/>
    <w:rsid w:val="073224CB"/>
    <w:rsid w:val="076F250C"/>
    <w:rsid w:val="07CB7E67"/>
    <w:rsid w:val="080D4656"/>
    <w:rsid w:val="082615EE"/>
    <w:rsid w:val="085B07C9"/>
    <w:rsid w:val="08AF103A"/>
    <w:rsid w:val="08DA29F2"/>
    <w:rsid w:val="08E0059B"/>
    <w:rsid w:val="093C2178"/>
    <w:rsid w:val="094A2F63"/>
    <w:rsid w:val="098221A4"/>
    <w:rsid w:val="098C5D53"/>
    <w:rsid w:val="099B5C84"/>
    <w:rsid w:val="09A10B38"/>
    <w:rsid w:val="09CB4F8C"/>
    <w:rsid w:val="09CD45E5"/>
    <w:rsid w:val="09F54F39"/>
    <w:rsid w:val="0A6B38BA"/>
    <w:rsid w:val="0A7D025F"/>
    <w:rsid w:val="0AB21EEF"/>
    <w:rsid w:val="0B48217C"/>
    <w:rsid w:val="0B7A46DF"/>
    <w:rsid w:val="0BE556FA"/>
    <w:rsid w:val="0C7B02A0"/>
    <w:rsid w:val="0C971C28"/>
    <w:rsid w:val="0CC0096F"/>
    <w:rsid w:val="0CCD3F07"/>
    <w:rsid w:val="0CFA4B8C"/>
    <w:rsid w:val="0D0633A7"/>
    <w:rsid w:val="0D3A2244"/>
    <w:rsid w:val="0D4516F6"/>
    <w:rsid w:val="0D5F37BF"/>
    <w:rsid w:val="0DEE7438"/>
    <w:rsid w:val="0E272FAB"/>
    <w:rsid w:val="0E6C2C42"/>
    <w:rsid w:val="0EAF5904"/>
    <w:rsid w:val="0ED33B73"/>
    <w:rsid w:val="0EE8358E"/>
    <w:rsid w:val="0F1707A1"/>
    <w:rsid w:val="0FCC21AA"/>
    <w:rsid w:val="108020E1"/>
    <w:rsid w:val="109E0557"/>
    <w:rsid w:val="10C055FF"/>
    <w:rsid w:val="11AF1548"/>
    <w:rsid w:val="11B920FE"/>
    <w:rsid w:val="12985273"/>
    <w:rsid w:val="12B85EC2"/>
    <w:rsid w:val="12BE164E"/>
    <w:rsid w:val="13104B26"/>
    <w:rsid w:val="13255DFA"/>
    <w:rsid w:val="1372769C"/>
    <w:rsid w:val="143025A7"/>
    <w:rsid w:val="1435429F"/>
    <w:rsid w:val="146D6DBC"/>
    <w:rsid w:val="14970367"/>
    <w:rsid w:val="14AF7EE9"/>
    <w:rsid w:val="14F14870"/>
    <w:rsid w:val="150D2C6F"/>
    <w:rsid w:val="157647A2"/>
    <w:rsid w:val="15830005"/>
    <w:rsid w:val="15A01D62"/>
    <w:rsid w:val="15F962D6"/>
    <w:rsid w:val="1659401B"/>
    <w:rsid w:val="166E161C"/>
    <w:rsid w:val="166F6F4F"/>
    <w:rsid w:val="16AC29CE"/>
    <w:rsid w:val="16AD0B24"/>
    <w:rsid w:val="16B83FE6"/>
    <w:rsid w:val="16BB723D"/>
    <w:rsid w:val="170842A9"/>
    <w:rsid w:val="174F605A"/>
    <w:rsid w:val="17736266"/>
    <w:rsid w:val="18033EFF"/>
    <w:rsid w:val="18983B04"/>
    <w:rsid w:val="18BD715F"/>
    <w:rsid w:val="19165242"/>
    <w:rsid w:val="192A7CEB"/>
    <w:rsid w:val="1934261A"/>
    <w:rsid w:val="198137EB"/>
    <w:rsid w:val="198470D4"/>
    <w:rsid w:val="19E4110C"/>
    <w:rsid w:val="1A0D21B2"/>
    <w:rsid w:val="1AAA77DE"/>
    <w:rsid w:val="1AAE1224"/>
    <w:rsid w:val="1B04765A"/>
    <w:rsid w:val="1B2A0C57"/>
    <w:rsid w:val="1B3377C7"/>
    <w:rsid w:val="1BB03FF5"/>
    <w:rsid w:val="1BBD2FC3"/>
    <w:rsid w:val="1BCE6BB1"/>
    <w:rsid w:val="1BCF1671"/>
    <w:rsid w:val="1C157ED9"/>
    <w:rsid w:val="1C7465AF"/>
    <w:rsid w:val="1CAA29F8"/>
    <w:rsid w:val="1CC500CC"/>
    <w:rsid w:val="1CFE276C"/>
    <w:rsid w:val="1D3D19A9"/>
    <w:rsid w:val="1D552434"/>
    <w:rsid w:val="1D8E4AD6"/>
    <w:rsid w:val="1DF13188"/>
    <w:rsid w:val="1E3B4605"/>
    <w:rsid w:val="1E677847"/>
    <w:rsid w:val="1EDF376E"/>
    <w:rsid w:val="1F965934"/>
    <w:rsid w:val="1FCA5E05"/>
    <w:rsid w:val="201F66B8"/>
    <w:rsid w:val="208E53B6"/>
    <w:rsid w:val="20C8663E"/>
    <w:rsid w:val="21354661"/>
    <w:rsid w:val="219827D6"/>
    <w:rsid w:val="21AE096B"/>
    <w:rsid w:val="21BF56F9"/>
    <w:rsid w:val="22155826"/>
    <w:rsid w:val="223C6B42"/>
    <w:rsid w:val="226C7884"/>
    <w:rsid w:val="22A650E9"/>
    <w:rsid w:val="23086685"/>
    <w:rsid w:val="232F778B"/>
    <w:rsid w:val="23D9784F"/>
    <w:rsid w:val="240371BF"/>
    <w:rsid w:val="24140F24"/>
    <w:rsid w:val="24143654"/>
    <w:rsid w:val="243B0F22"/>
    <w:rsid w:val="24930718"/>
    <w:rsid w:val="25760B3D"/>
    <w:rsid w:val="261218E7"/>
    <w:rsid w:val="270B7D29"/>
    <w:rsid w:val="271C5F03"/>
    <w:rsid w:val="27650ADE"/>
    <w:rsid w:val="27677CFA"/>
    <w:rsid w:val="27937D6A"/>
    <w:rsid w:val="279D31EA"/>
    <w:rsid w:val="27DF490E"/>
    <w:rsid w:val="27F2619F"/>
    <w:rsid w:val="27FD5069"/>
    <w:rsid w:val="283304DD"/>
    <w:rsid w:val="286458FC"/>
    <w:rsid w:val="28A24B7A"/>
    <w:rsid w:val="294120DB"/>
    <w:rsid w:val="298C089F"/>
    <w:rsid w:val="299E06D5"/>
    <w:rsid w:val="29FD04D3"/>
    <w:rsid w:val="2A1451F8"/>
    <w:rsid w:val="2A8C256A"/>
    <w:rsid w:val="2AA22A3D"/>
    <w:rsid w:val="2ADE19C1"/>
    <w:rsid w:val="2B3E3B45"/>
    <w:rsid w:val="2B5823A0"/>
    <w:rsid w:val="2BC91365"/>
    <w:rsid w:val="2C3C5ED4"/>
    <w:rsid w:val="2C426068"/>
    <w:rsid w:val="2C456D99"/>
    <w:rsid w:val="2C5354CC"/>
    <w:rsid w:val="2CED2723"/>
    <w:rsid w:val="2CEE2DD0"/>
    <w:rsid w:val="2D244003"/>
    <w:rsid w:val="2D2B16B7"/>
    <w:rsid w:val="2D4D1A57"/>
    <w:rsid w:val="2D8765D8"/>
    <w:rsid w:val="2DCA2909"/>
    <w:rsid w:val="2E74389B"/>
    <w:rsid w:val="2E956EB8"/>
    <w:rsid w:val="2EC877F5"/>
    <w:rsid w:val="2EFF47E6"/>
    <w:rsid w:val="2F2705EC"/>
    <w:rsid w:val="2F506130"/>
    <w:rsid w:val="2F6646E3"/>
    <w:rsid w:val="2FC5542F"/>
    <w:rsid w:val="304253AC"/>
    <w:rsid w:val="30F9596C"/>
    <w:rsid w:val="31040A9D"/>
    <w:rsid w:val="31155852"/>
    <w:rsid w:val="314D560F"/>
    <w:rsid w:val="31531762"/>
    <w:rsid w:val="319F7F4E"/>
    <w:rsid w:val="31A358D2"/>
    <w:rsid w:val="31A903CF"/>
    <w:rsid w:val="31F5010D"/>
    <w:rsid w:val="321C64E3"/>
    <w:rsid w:val="32621CB4"/>
    <w:rsid w:val="33076CF1"/>
    <w:rsid w:val="33434816"/>
    <w:rsid w:val="33931AFC"/>
    <w:rsid w:val="33BB68B9"/>
    <w:rsid w:val="33BC0111"/>
    <w:rsid w:val="33C53F7A"/>
    <w:rsid w:val="33C555C3"/>
    <w:rsid w:val="33DE2EA4"/>
    <w:rsid w:val="33E30B50"/>
    <w:rsid w:val="33EC5C4A"/>
    <w:rsid w:val="33EC77BC"/>
    <w:rsid w:val="344A1141"/>
    <w:rsid w:val="34775B32"/>
    <w:rsid w:val="348F3A31"/>
    <w:rsid w:val="34F1408D"/>
    <w:rsid w:val="35427624"/>
    <w:rsid w:val="35475037"/>
    <w:rsid w:val="35486DBF"/>
    <w:rsid w:val="36072A0E"/>
    <w:rsid w:val="361610AE"/>
    <w:rsid w:val="368F0C20"/>
    <w:rsid w:val="372F2CFA"/>
    <w:rsid w:val="37765B9B"/>
    <w:rsid w:val="37791FCD"/>
    <w:rsid w:val="378109EF"/>
    <w:rsid w:val="37820F89"/>
    <w:rsid w:val="37885C25"/>
    <w:rsid w:val="37E96321"/>
    <w:rsid w:val="385F10A7"/>
    <w:rsid w:val="38FC37CD"/>
    <w:rsid w:val="39091BC7"/>
    <w:rsid w:val="3959750C"/>
    <w:rsid w:val="395C27BA"/>
    <w:rsid w:val="398479E6"/>
    <w:rsid w:val="39A52082"/>
    <w:rsid w:val="39AB4816"/>
    <w:rsid w:val="39BE0DD5"/>
    <w:rsid w:val="39C726B6"/>
    <w:rsid w:val="39D77CB2"/>
    <w:rsid w:val="3A3D5337"/>
    <w:rsid w:val="3A3D5E55"/>
    <w:rsid w:val="3A552DF9"/>
    <w:rsid w:val="3A860EF3"/>
    <w:rsid w:val="3AAC1DE6"/>
    <w:rsid w:val="3ACC57AF"/>
    <w:rsid w:val="3AE8000E"/>
    <w:rsid w:val="3B2B4F9A"/>
    <w:rsid w:val="3B3B2682"/>
    <w:rsid w:val="3B830ACC"/>
    <w:rsid w:val="3BCE118B"/>
    <w:rsid w:val="3C4D3C46"/>
    <w:rsid w:val="3C5555ED"/>
    <w:rsid w:val="3CB515E2"/>
    <w:rsid w:val="3CE94C63"/>
    <w:rsid w:val="3CEC71EF"/>
    <w:rsid w:val="3CFB2ED0"/>
    <w:rsid w:val="3D286C3A"/>
    <w:rsid w:val="3D6F47CE"/>
    <w:rsid w:val="3D981B2C"/>
    <w:rsid w:val="3E19707C"/>
    <w:rsid w:val="3E310CD3"/>
    <w:rsid w:val="3EA910EE"/>
    <w:rsid w:val="3EB849BD"/>
    <w:rsid w:val="3F504142"/>
    <w:rsid w:val="3F630127"/>
    <w:rsid w:val="3F771CBB"/>
    <w:rsid w:val="3FA25EC6"/>
    <w:rsid w:val="3FC409A7"/>
    <w:rsid w:val="40314300"/>
    <w:rsid w:val="407E0D08"/>
    <w:rsid w:val="408E25E2"/>
    <w:rsid w:val="40C5077F"/>
    <w:rsid w:val="40D87292"/>
    <w:rsid w:val="41024391"/>
    <w:rsid w:val="41291B6D"/>
    <w:rsid w:val="41385AD4"/>
    <w:rsid w:val="41560D3A"/>
    <w:rsid w:val="418008CB"/>
    <w:rsid w:val="41B91D91"/>
    <w:rsid w:val="41D44C03"/>
    <w:rsid w:val="429005B0"/>
    <w:rsid w:val="42A453C9"/>
    <w:rsid w:val="43096751"/>
    <w:rsid w:val="431047F8"/>
    <w:rsid w:val="4319442A"/>
    <w:rsid w:val="431C2140"/>
    <w:rsid w:val="432637F3"/>
    <w:rsid w:val="43693664"/>
    <w:rsid w:val="43966BCE"/>
    <w:rsid w:val="43DF14BE"/>
    <w:rsid w:val="44477242"/>
    <w:rsid w:val="447949C5"/>
    <w:rsid w:val="44873D14"/>
    <w:rsid w:val="44CA728F"/>
    <w:rsid w:val="45D00632"/>
    <w:rsid w:val="462C09E7"/>
    <w:rsid w:val="46AE26F2"/>
    <w:rsid w:val="46B83600"/>
    <w:rsid w:val="470B2BF0"/>
    <w:rsid w:val="473E43B2"/>
    <w:rsid w:val="47415B42"/>
    <w:rsid w:val="47673594"/>
    <w:rsid w:val="47851C15"/>
    <w:rsid w:val="47E46B5E"/>
    <w:rsid w:val="48086600"/>
    <w:rsid w:val="480906AE"/>
    <w:rsid w:val="48903CF0"/>
    <w:rsid w:val="48B05ECC"/>
    <w:rsid w:val="48B51D0E"/>
    <w:rsid w:val="49134D2F"/>
    <w:rsid w:val="49343D8B"/>
    <w:rsid w:val="49377571"/>
    <w:rsid w:val="498F7B47"/>
    <w:rsid w:val="49CF65EE"/>
    <w:rsid w:val="49D16F7B"/>
    <w:rsid w:val="4A862BAE"/>
    <w:rsid w:val="4AA60572"/>
    <w:rsid w:val="4B0A4D8F"/>
    <w:rsid w:val="4B2E0698"/>
    <w:rsid w:val="4B6D5157"/>
    <w:rsid w:val="4B6F5DDF"/>
    <w:rsid w:val="4B8840FA"/>
    <w:rsid w:val="4B911E5E"/>
    <w:rsid w:val="4BA82141"/>
    <w:rsid w:val="4BDD4D9A"/>
    <w:rsid w:val="4C1115D4"/>
    <w:rsid w:val="4C130F6D"/>
    <w:rsid w:val="4C6528E2"/>
    <w:rsid w:val="4C8E00F3"/>
    <w:rsid w:val="4CAF4DAE"/>
    <w:rsid w:val="4CBD78B0"/>
    <w:rsid w:val="4CC0649C"/>
    <w:rsid w:val="4CF412B7"/>
    <w:rsid w:val="4D3D4689"/>
    <w:rsid w:val="4D4540D3"/>
    <w:rsid w:val="4D4626E1"/>
    <w:rsid w:val="4D560A90"/>
    <w:rsid w:val="4D6349E9"/>
    <w:rsid w:val="4D810DBE"/>
    <w:rsid w:val="4DF120D2"/>
    <w:rsid w:val="4E3D56BC"/>
    <w:rsid w:val="4E6D5F02"/>
    <w:rsid w:val="4E863E4E"/>
    <w:rsid w:val="4F015DEA"/>
    <w:rsid w:val="4F7435ED"/>
    <w:rsid w:val="4F914F9C"/>
    <w:rsid w:val="4FBD308E"/>
    <w:rsid w:val="4FCA4786"/>
    <w:rsid w:val="4FF11A5C"/>
    <w:rsid w:val="501B609C"/>
    <w:rsid w:val="502C4A42"/>
    <w:rsid w:val="504C7739"/>
    <w:rsid w:val="50C17523"/>
    <w:rsid w:val="50F021FD"/>
    <w:rsid w:val="50FB3B81"/>
    <w:rsid w:val="513B2B71"/>
    <w:rsid w:val="514935C5"/>
    <w:rsid w:val="518B503C"/>
    <w:rsid w:val="51A32CF3"/>
    <w:rsid w:val="51B45A49"/>
    <w:rsid w:val="51EF63D9"/>
    <w:rsid w:val="52926B36"/>
    <w:rsid w:val="52D111CE"/>
    <w:rsid w:val="52F631B9"/>
    <w:rsid w:val="537932AB"/>
    <w:rsid w:val="53B454A7"/>
    <w:rsid w:val="53BD6D82"/>
    <w:rsid w:val="54020964"/>
    <w:rsid w:val="540A5794"/>
    <w:rsid w:val="5482777A"/>
    <w:rsid w:val="54E970F8"/>
    <w:rsid w:val="550940CB"/>
    <w:rsid w:val="558A635A"/>
    <w:rsid w:val="55A87E93"/>
    <w:rsid w:val="55BE73C0"/>
    <w:rsid w:val="55C75671"/>
    <w:rsid w:val="55C9541D"/>
    <w:rsid w:val="55D63D47"/>
    <w:rsid w:val="55D73C6A"/>
    <w:rsid w:val="55E62F35"/>
    <w:rsid w:val="56105DDB"/>
    <w:rsid w:val="56134AC9"/>
    <w:rsid w:val="56E93B36"/>
    <w:rsid w:val="574C3084"/>
    <w:rsid w:val="57576301"/>
    <w:rsid w:val="576F0C69"/>
    <w:rsid w:val="57760D25"/>
    <w:rsid w:val="57E87CA5"/>
    <w:rsid w:val="58033D07"/>
    <w:rsid w:val="58230B4C"/>
    <w:rsid w:val="58D339B4"/>
    <w:rsid w:val="591A6362"/>
    <w:rsid w:val="59627ED2"/>
    <w:rsid w:val="59875009"/>
    <w:rsid w:val="59A156EB"/>
    <w:rsid w:val="59B93671"/>
    <w:rsid w:val="5A5035F6"/>
    <w:rsid w:val="5A8245A0"/>
    <w:rsid w:val="5A852C69"/>
    <w:rsid w:val="5A8B350B"/>
    <w:rsid w:val="5AFE5F23"/>
    <w:rsid w:val="5B033DD0"/>
    <w:rsid w:val="5B1D16B1"/>
    <w:rsid w:val="5B5227E7"/>
    <w:rsid w:val="5B6D72F5"/>
    <w:rsid w:val="5B746016"/>
    <w:rsid w:val="5BB5755B"/>
    <w:rsid w:val="5BBA5DC8"/>
    <w:rsid w:val="5BD12E6E"/>
    <w:rsid w:val="5C77639D"/>
    <w:rsid w:val="5C7D083F"/>
    <w:rsid w:val="5CA0403C"/>
    <w:rsid w:val="5CCC7A55"/>
    <w:rsid w:val="5CDC24A9"/>
    <w:rsid w:val="5CE64BC9"/>
    <w:rsid w:val="5D1763F2"/>
    <w:rsid w:val="5D385BC6"/>
    <w:rsid w:val="5DE649F7"/>
    <w:rsid w:val="5E5F4897"/>
    <w:rsid w:val="5E987801"/>
    <w:rsid w:val="5F015725"/>
    <w:rsid w:val="5F26767B"/>
    <w:rsid w:val="5F294DA1"/>
    <w:rsid w:val="5F666F44"/>
    <w:rsid w:val="5F6A5E61"/>
    <w:rsid w:val="5FB10124"/>
    <w:rsid w:val="5FEE0C07"/>
    <w:rsid w:val="60057702"/>
    <w:rsid w:val="60172FF8"/>
    <w:rsid w:val="601C182B"/>
    <w:rsid w:val="60211F2A"/>
    <w:rsid w:val="60843CD1"/>
    <w:rsid w:val="60BB3669"/>
    <w:rsid w:val="61255E01"/>
    <w:rsid w:val="61660B3D"/>
    <w:rsid w:val="61DC7A61"/>
    <w:rsid w:val="622F2147"/>
    <w:rsid w:val="624E217B"/>
    <w:rsid w:val="62F101A5"/>
    <w:rsid w:val="62F56F6C"/>
    <w:rsid w:val="63410CF5"/>
    <w:rsid w:val="63937D53"/>
    <w:rsid w:val="639F00A6"/>
    <w:rsid w:val="63F832BB"/>
    <w:rsid w:val="6449280E"/>
    <w:rsid w:val="644E53F4"/>
    <w:rsid w:val="645B1267"/>
    <w:rsid w:val="647B19DE"/>
    <w:rsid w:val="64874E71"/>
    <w:rsid w:val="64DD150E"/>
    <w:rsid w:val="65160617"/>
    <w:rsid w:val="651C2DAA"/>
    <w:rsid w:val="65E36D76"/>
    <w:rsid w:val="663778B1"/>
    <w:rsid w:val="668566B2"/>
    <w:rsid w:val="66970D9E"/>
    <w:rsid w:val="66A21F41"/>
    <w:rsid w:val="66AD0639"/>
    <w:rsid w:val="67242A8C"/>
    <w:rsid w:val="67267C6A"/>
    <w:rsid w:val="67BB78A5"/>
    <w:rsid w:val="682D4CD4"/>
    <w:rsid w:val="68380972"/>
    <w:rsid w:val="68A30540"/>
    <w:rsid w:val="68F26FE1"/>
    <w:rsid w:val="693D5612"/>
    <w:rsid w:val="699D2674"/>
    <w:rsid w:val="69B44CEB"/>
    <w:rsid w:val="69EE641F"/>
    <w:rsid w:val="6A056A31"/>
    <w:rsid w:val="6A345421"/>
    <w:rsid w:val="6A6D2EAE"/>
    <w:rsid w:val="6A7445B9"/>
    <w:rsid w:val="6B867C2F"/>
    <w:rsid w:val="6BB14F01"/>
    <w:rsid w:val="6BB57448"/>
    <w:rsid w:val="6BC158B7"/>
    <w:rsid w:val="6BF079E2"/>
    <w:rsid w:val="6C112C6C"/>
    <w:rsid w:val="6C1D2A20"/>
    <w:rsid w:val="6C554470"/>
    <w:rsid w:val="6C98646F"/>
    <w:rsid w:val="6D006521"/>
    <w:rsid w:val="6D0804C9"/>
    <w:rsid w:val="6D5B7974"/>
    <w:rsid w:val="6D950126"/>
    <w:rsid w:val="6DF14BD6"/>
    <w:rsid w:val="6ED5591F"/>
    <w:rsid w:val="6F043D1C"/>
    <w:rsid w:val="6F1E09C6"/>
    <w:rsid w:val="6F2E2CC3"/>
    <w:rsid w:val="6F3512F5"/>
    <w:rsid w:val="6F7147BD"/>
    <w:rsid w:val="6F7E4EA1"/>
    <w:rsid w:val="6FD300D9"/>
    <w:rsid w:val="70256EF6"/>
    <w:rsid w:val="705F6AE6"/>
    <w:rsid w:val="706B128C"/>
    <w:rsid w:val="70A1715B"/>
    <w:rsid w:val="70A83521"/>
    <w:rsid w:val="70B7702D"/>
    <w:rsid w:val="70D7507E"/>
    <w:rsid w:val="71064CB1"/>
    <w:rsid w:val="715A78A1"/>
    <w:rsid w:val="715A78A9"/>
    <w:rsid w:val="71FD1425"/>
    <w:rsid w:val="720A5EC7"/>
    <w:rsid w:val="722948D0"/>
    <w:rsid w:val="725958AB"/>
    <w:rsid w:val="72D410A8"/>
    <w:rsid w:val="72DA60B1"/>
    <w:rsid w:val="732B2BA2"/>
    <w:rsid w:val="733A703B"/>
    <w:rsid w:val="73457806"/>
    <w:rsid w:val="735F1392"/>
    <w:rsid w:val="73722864"/>
    <w:rsid w:val="73921520"/>
    <w:rsid w:val="73DD64F6"/>
    <w:rsid w:val="744F08B3"/>
    <w:rsid w:val="74710267"/>
    <w:rsid w:val="74815B87"/>
    <w:rsid w:val="74A11CF1"/>
    <w:rsid w:val="74C72B7C"/>
    <w:rsid w:val="755F0F99"/>
    <w:rsid w:val="75A6142E"/>
    <w:rsid w:val="75BB139E"/>
    <w:rsid w:val="76146E75"/>
    <w:rsid w:val="762A5D34"/>
    <w:rsid w:val="76695589"/>
    <w:rsid w:val="76A450A9"/>
    <w:rsid w:val="76F04A08"/>
    <w:rsid w:val="77183B4C"/>
    <w:rsid w:val="774C0587"/>
    <w:rsid w:val="77DD191D"/>
    <w:rsid w:val="77E20F20"/>
    <w:rsid w:val="780C53BF"/>
    <w:rsid w:val="78370A43"/>
    <w:rsid w:val="784908F5"/>
    <w:rsid w:val="78515E1E"/>
    <w:rsid w:val="78892CA7"/>
    <w:rsid w:val="789823B8"/>
    <w:rsid w:val="78C63B13"/>
    <w:rsid w:val="78F77815"/>
    <w:rsid w:val="79085209"/>
    <w:rsid w:val="795855E1"/>
    <w:rsid w:val="79C06371"/>
    <w:rsid w:val="79C20520"/>
    <w:rsid w:val="79E13E67"/>
    <w:rsid w:val="7A3B4574"/>
    <w:rsid w:val="7A4935BE"/>
    <w:rsid w:val="7A8F6270"/>
    <w:rsid w:val="7ADA3342"/>
    <w:rsid w:val="7AF657DF"/>
    <w:rsid w:val="7B5D0712"/>
    <w:rsid w:val="7C0E157D"/>
    <w:rsid w:val="7C180996"/>
    <w:rsid w:val="7C3B5B52"/>
    <w:rsid w:val="7C611DDE"/>
    <w:rsid w:val="7C847D7F"/>
    <w:rsid w:val="7C9E535E"/>
    <w:rsid w:val="7CB0094E"/>
    <w:rsid w:val="7CCC2EFB"/>
    <w:rsid w:val="7CDD15C1"/>
    <w:rsid w:val="7CEA1AE7"/>
    <w:rsid w:val="7DAA0F0C"/>
    <w:rsid w:val="7DD751D5"/>
    <w:rsid w:val="7E786053"/>
    <w:rsid w:val="7E943DE2"/>
    <w:rsid w:val="7F085F22"/>
    <w:rsid w:val="7F195DCC"/>
    <w:rsid w:val="7F1A0C80"/>
    <w:rsid w:val="7F367B50"/>
    <w:rsid w:val="7F872018"/>
    <w:rsid w:val="7FA3074A"/>
    <w:rsid w:val="7FA72C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116E-D814-40FC-9BE9-37D8BB53B4D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7396</Words>
  <Characters>8104</Characters>
  <Lines>67</Lines>
  <Paragraphs>18</Paragraphs>
  <TotalTime>26</TotalTime>
  <ScaleCrop>false</ScaleCrop>
  <LinksUpToDate>false</LinksUpToDate>
  <CharactersWithSpaces>8252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明风之风</cp:lastModifiedBy>
  <cp:lastPrinted>2019-08-01T00:48:00Z</cp:lastPrinted>
  <dcterms:modified xsi:type="dcterms:W3CDTF">2023-07-14T11:59:01Z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885798035F4A4FA0B4B5F7EA741E5552_12</vt:lpwstr>
  </property>
</Properties>
</file>