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bookmarkStart w:id="0" w:name="_Toc15306267"/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3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000000"/>
          <w:sz w:val="72"/>
          <w:szCs w:val="72"/>
          <w:lang w:eastAsia="zh-CN"/>
        </w:rPr>
      </w:pPr>
      <w:bookmarkStart w:id="1" w:name="_Toc15396597"/>
      <w:bookmarkStart w:id="2" w:name="_Toc15378441"/>
      <w:bookmarkStart w:id="3" w:name="_Toc15377193"/>
      <w:bookmarkStart w:id="4" w:name="_Toc15396475"/>
      <w:bookmarkStart w:id="5" w:name="_Toc15377425"/>
      <w:r>
        <w:rPr>
          <w:rFonts w:hint="default" w:ascii="Times New Roman" w:hAnsi="Times New Roman" w:eastAsia="黑体" w:cs="Times New Roman"/>
          <w:color w:val="000000"/>
          <w:sz w:val="72"/>
          <w:szCs w:val="72"/>
        </w:rPr>
        <w:t>201</w:t>
      </w:r>
      <w:r>
        <w:rPr>
          <w:rFonts w:hint="eastAsia" w:eastAsia="黑体" w:cs="Times New Roman"/>
          <w:color w:val="000000"/>
          <w:sz w:val="72"/>
          <w:szCs w:val="72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bookmarkStart w:id="6" w:name="_Toc15377426"/>
      <w:bookmarkStart w:id="7" w:name="_Toc15377194"/>
      <w:bookmarkStart w:id="8" w:name="_Toc15396476"/>
      <w:bookmarkStart w:id="9" w:name="_Toc15396598"/>
      <w:bookmarkStart w:id="10" w:name="_Toc15378442"/>
      <w:r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  <w:t>平昌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</w:rPr>
        <w:t>县</w:t>
      </w:r>
      <w:bookmarkEnd w:id="0"/>
      <w:bookmarkStart w:id="11" w:name="_Toc15306268"/>
      <w:r>
        <w:rPr>
          <w:rFonts w:hint="eastAsia" w:ascii="Times New Roman" w:hAnsi="Times New Roman" w:eastAsia="方正小标宋简体" w:cs="Times New Roman"/>
          <w:color w:val="000000"/>
          <w:sz w:val="72"/>
          <w:szCs w:val="72"/>
          <w:lang w:eastAsia="zh-CN"/>
        </w:rPr>
        <w:t>岩口乡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300" w:lineRule="exact"/>
        <w:jc w:val="center"/>
        <w:textAlignment w:val="auto"/>
        <w:outlineLvl w:val="0"/>
        <w:rPr>
          <w:rFonts w:hint="eastAsia" w:eastAsia="方正小标宋简体" w:cs="Times New Roman"/>
          <w:color w:val="000000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</w:rPr>
        <w:t>部门</w:t>
      </w:r>
      <w:r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  <w:t>决算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eastAsia="方正小标宋简体" w:cs="Times New Roman"/>
          <w:color w:val="000000"/>
          <w:sz w:val="72"/>
          <w:szCs w:val="72"/>
          <w:lang w:eastAsia="zh-CN"/>
        </w:rPr>
        <w:t>公开编制说明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300" w:lineRule="exact"/>
        <w:jc w:val="center"/>
        <w:textAlignment w:val="auto"/>
        <w:outlineLvl w:val="0"/>
        <w:rPr>
          <w:rFonts w:hint="eastAsia" w:eastAsia="方正小标宋简体" w:cs="Times New Roman"/>
          <w:color w:val="000000"/>
          <w:sz w:val="72"/>
          <w:szCs w:val="72"/>
          <w:highlight w:val="red"/>
          <w:lang w:eastAsia="zh-CN"/>
        </w:rPr>
      </w:pPr>
      <w:r>
        <w:rPr>
          <w:rFonts w:hint="eastAsia" w:eastAsia="方正小标宋简体" w:cs="Times New Roman"/>
          <w:color w:val="000000"/>
          <w:sz w:val="72"/>
          <w:szCs w:val="72"/>
          <w:highlight w:val="none"/>
          <w:lang w:eastAsia="zh-CN"/>
        </w:rPr>
        <w:t>（汇总）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13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目录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TOC \o "1-2" \h \z \u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</w:p>
    <w:p>
      <w:pPr>
        <w:pStyle w:val="11"/>
        <w:pageBreakBefore w:val="0"/>
        <w:kinsoku/>
        <w:wordWrap/>
        <w:overflowPunct/>
        <w:topLinePunct w:val="0"/>
        <w:bidi w:val="0"/>
        <w:spacing w:before="0"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公开时间：2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020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10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18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日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pacing w:before="0"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"_Toc15396599"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第一部分 部门概况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"_Toc15396600"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一、基本职能及主要工作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...................................................................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"_Toc15396601"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二、机构设置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1"/>
        <w:pageBreakBefore w:val="0"/>
        <w:kinsoku/>
        <w:wordWrap/>
        <w:overflowPunct/>
        <w:topLinePunct w:val="0"/>
        <w:bidi w:val="0"/>
        <w:spacing w:before="0"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"_Toc15396602"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第二部分 201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9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年度部门决算情况说明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"_Toc15396603"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一、收入支出决算总体情况说明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"_Toc15396604"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二、收入决算情况说明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"_Toc15396605"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三、支出决算情况说明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"_Toc15396606"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四、财政拨款收入支出决算总体情况说明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"_Toc15396607"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五、一般公共预算财政拨款支出决算情况说明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"_Toc15396608"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六、一般公共预算财政拨款基本支出决算情况说明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5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"_Toc15396609"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七、“三公”经费财政拨款支出决算情况说明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5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"_Toc15396610"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八、政府性基金预算支出决算情况说明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6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"_Toc15396611"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九、 国有资本经营预算支出决算情况说明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_Toc15396611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16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"_Toc15396612"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十、其他重要事项的情况说明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6</w:t>
      </w:r>
    </w:p>
    <w:p>
      <w:pPr>
        <w:pStyle w:val="11"/>
        <w:pageBreakBefore w:val="0"/>
        <w:kinsoku/>
        <w:wordWrap/>
        <w:overflowPunct/>
        <w:topLinePunct w:val="0"/>
        <w:bidi w:val="0"/>
        <w:spacing w:before="0"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"_Toc15396613"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第三部分 名词解释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1</w:t>
      </w:r>
    </w:p>
    <w:p>
      <w:pPr>
        <w:pStyle w:val="11"/>
        <w:pageBreakBefore w:val="0"/>
        <w:kinsoku/>
        <w:wordWrap/>
        <w:overflowPunct/>
        <w:topLinePunct w:val="0"/>
        <w:bidi w:val="0"/>
        <w:spacing w:before="0" w:line="560" w:lineRule="exac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"_Toc15396614"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第四部分 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4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"_Toc15396615"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附件1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4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"_Toc15396617"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附件2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8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"_Toc15396617"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>9</w:t>
      </w:r>
    </w:p>
    <w:p>
      <w:pPr>
        <w:rPr>
          <w:rFonts w:hint="eastAsia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pacing w:before="0"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"_Toc15396618"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第五部分 附表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1</w:t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"_Toc15396619"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收入支出决算总表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_Toc15396619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二、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"_Toc15396620"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收入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决算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_Toc15396620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三、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"_Toc15396621"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支出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决算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_Toc15396621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"_Toc15396622"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财政拨款收入支出决算总表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_Toc15396622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"_Toc15396623"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财政拨款支出决算明细表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_Toc15396623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六、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"_Toc15396624"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一般公共预算财政拨款支出决算表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_Toc15396624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七、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"_Toc15396625"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一般公共预算财政拨款支出决算明细表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_Toc15396625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八、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"_Toc15396626"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一般公共预算财政拨款基本支出决算表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_Toc15396626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九、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"_Toc15396627"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一般公共预算财政拨款项目支出决算表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_Toc15396627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十、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"_Toc15396628"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一般公共预算财政拨款“三公”经费支出决算表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_Toc15396628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十一、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"_Toc15396629"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政府性基金预算财政拨款收入支出决算表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_Toc15396629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十二、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"_Toc15396630"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政府性基金预算财政拨款“三公”经费支出决算表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_Toc15396630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十三、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HYPERLINK \l "_Toc15396631"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国有资本经营预算支出决算表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instrText xml:space="preserve"> PAGEREF _Toc15396631 \h </w:instrTex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 xml:space="preserve">                                                  </w:t>
      </w:r>
      <w:bookmarkStart w:id="12" w:name="_Toc15377196"/>
      <w:bookmarkStart w:id="13" w:name="_Toc15396599"/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bidi w:val="0"/>
        <w:spacing w:before="0" w:line="560" w:lineRule="exact"/>
        <w:jc w:val="center"/>
        <w:rPr>
          <w:rStyle w:val="26"/>
          <w:rFonts w:hint="default" w:ascii="Times New Roman" w:hAnsi="Times New Roman" w:eastAsia="黑体" w:cs="Times New Roman"/>
          <w:b/>
          <w:bCs w:val="0"/>
        </w:rPr>
      </w:pPr>
      <w:r>
        <w:rPr>
          <w:rFonts w:hint="default" w:ascii="Times New Roman" w:hAnsi="Times New Roman" w:eastAsia="黑体" w:cs="Times New Roman"/>
          <w:b w:val="0"/>
        </w:rPr>
        <w:t xml:space="preserve">第一部分 </w:t>
      </w:r>
      <w:r>
        <w:rPr>
          <w:rStyle w:val="26"/>
          <w:rFonts w:hint="default" w:ascii="Times New Roman" w:hAnsi="Times New Roman" w:eastAsia="黑体" w:cs="Times New Roman"/>
          <w:b w:val="0"/>
          <w:bCs w:val="0"/>
        </w:rPr>
        <w:t>部门概况</w:t>
      </w:r>
      <w:bookmarkEnd w:id="12"/>
      <w:bookmarkEnd w:id="13"/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firstLine="643" w:firstLineChars="200"/>
        <w:textAlignment w:val="auto"/>
        <w:rPr>
          <w:rStyle w:val="27"/>
          <w:rFonts w:hint="eastAsia" w:ascii="仿宋" w:hAnsi="仿宋" w:eastAsia="仿宋" w:cs="仿宋"/>
          <w:b/>
          <w:bCs w:val="0"/>
        </w:rPr>
      </w:pPr>
      <w:bookmarkStart w:id="14" w:name="_Toc15377197"/>
      <w:bookmarkStart w:id="15" w:name="_Toc15396600"/>
      <w:r>
        <w:rPr>
          <w:rFonts w:hint="eastAsia" w:ascii="仿宋" w:hAnsi="仿宋" w:eastAsia="仿宋" w:cs="仿宋"/>
          <w:b/>
          <w:bCs w:val="0"/>
          <w:color w:val="000000"/>
        </w:rPr>
        <w:t>一、基</w:t>
      </w:r>
      <w:r>
        <w:rPr>
          <w:rStyle w:val="27"/>
          <w:rFonts w:hint="eastAsia" w:ascii="仿宋" w:hAnsi="仿宋" w:eastAsia="仿宋" w:cs="仿宋"/>
          <w:b/>
          <w:bCs w:val="0"/>
        </w:rPr>
        <w:t>本职能及主要工作</w:t>
      </w:r>
      <w:bookmarkEnd w:id="14"/>
      <w:bookmarkEnd w:id="15"/>
      <w:bookmarkStart w:id="16" w:name="_Toc15378445"/>
      <w:bookmarkStart w:id="17" w:name="_Toc15377198"/>
    </w:p>
    <w:p>
      <w:pPr>
        <w:pStyle w:val="6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（一）主要职能。</w:t>
      </w:r>
      <w:bookmarkEnd w:id="16"/>
      <w:bookmarkEnd w:id="17"/>
    </w:p>
    <w:p>
      <w:pPr>
        <w:pStyle w:val="6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（1）执行本级人民代表大会的决议和上级国家行政机关的决定和命令；</w:t>
      </w:r>
    </w:p>
    <w:p>
      <w:pPr>
        <w:pStyle w:val="6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（2）执行本行政区域内的经济和社会发展计划、预算，管理本行政区域内的经济、教育、科学、文化、卫生、体育事业和财政、民政、公安、司法行政、计划生育等行政工作；</w:t>
      </w:r>
    </w:p>
    <w:p>
      <w:pPr>
        <w:pStyle w:val="6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（3）保护社会主义的全民所有的财产和劳动群众集体所有的财产，保护公民私人所有的合法财产，维护社会秩序，保障公民的人身权利、民主权利和其他权利；</w:t>
      </w:r>
    </w:p>
    <w:p>
      <w:pPr>
        <w:pStyle w:val="6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（4）保护各种经济组织的合法权益；</w:t>
      </w:r>
    </w:p>
    <w:p>
      <w:pPr>
        <w:pStyle w:val="6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（5）保障宪法和法律赋予妇女的男女平等、同工同酬和婚姻自由等各项权利；</w:t>
      </w:r>
    </w:p>
    <w:p>
      <w:pPr>
        <w:pStyle w:val="6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（6）办理上级人民政府交办的其他事项。</w:t>
      </w:r>
      <w:bookmarkStart w:id="18" w:name="_Toc15377199"/>
      <w:bookmarkStart w:id="19" w:name="_Toc15378446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（二）201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年重点工作完成情况。</w:t>
      </w:r>
      <w:bookmarkEnd w:id="18"/>
      <w:bookmarkEnd w:id="19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在县委、县政府的坚强领导下，乡人民政府坚持全面贯彻党的十九大精神、中央、省委经济工作会议精神、省市县全会精神，坚定围绕省委“一干多支、五区协同”发展战略、市委加快建设川陕革命老区振兴示范区的决定及县委“一干三副六区”城乡发展新格局。牢固树立高质量发展意识，努力推进基础设施建设、脱贫攻坚、产业培育、环境保护等重点工作，全力助推乡村振兴战略取得积极进展。 深入开展党的群众路线教育实践活动，抓好本乡镇的政府工作法律、法规、政策的贯彻，政府事业发展规划和工作计划的制订，社会公共事务工作的组织和实施;本乡镇的行政公共服务;本乡镇突发公共事件的报告，并依据上级部门要求组织实施处置;本乡镇辖区内的政府信息统计、分析、上报;对本乡镇辖区及其他事业单位的业务指导和培训;承办政府行政部门委托的相关业务或事项;上级行政主管部门下达的工作，全面完成了上级组织交办的各项工作任务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outlineLvl w:val="2"/>
        <w:rPr>
          <w:rFonts w:hint="default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before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20" w:name="_Toc15396601"/>
      <w:bookmarkStart w:id="21" w:name="_Toc15377200"/>
      <w:r>
        <w:rPr>
          <w:rFonts w:hint="default" w:ascii="Times New Roman" w:hAnsi="Times New Roman" w:eastAsia="黑体" w:cs="Times New Roman"/>
          <w:b w:val="0"/>
          <w:color w:val="000000"/>
        </w:rPr>
        <w:t>二、机</w:t>
      </w:r>
      <w:r>
        <w:rPr>
          <w:rStyle w:val="27"/>
          <w:rFonts w:hint="default" w:ascii="Times New Roman" w:hAnsi="Times New Roman" w:eastAsia="黑体" w:cs="Times New Roman"/>
          <w:b w:val="0"/>
          <w:bCs w:val="0"/>
        </w:rPr>
        <w:t>构设置</w:t>
      </w:r>
      <w:bookmarkEnd w:id="20"/>
      <w:bookmarkEnd w:id="21"/>
      <w:bookmarkStart w:id="22" w:name="_Toc15396602"/>
      <w:bookmarkStart w:id="23" w:name="_Toc15377204"/>
    </w:p>
    <w:p>
      <w:pPr>
        <w:ind w:firstLine="800" w:firstLineChars="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平昌县岩口乡</w:t>
      </w:r>
      <w:r>
        <w:rPr>
          <w:rFonts w:hint="eastAsia" w:ascii="仿宋" w:hAnsi="仿宋" w:eastAsia="仿宋"/>
          <w:sz w:val="32"/>
          <w:szCs w:val="32"/>
          <w:highlight w:val="none"/>
        </w:rPr>
        <w:t>下属二级单位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个，其中其他事业单位2个。</w:t>
      </w:r>
    </w:p>
    <w:p>
      <w:pPr>
        <w:pStyle w:val="6"/>
        <w:adjustRightInd w:val="0"/>
        <w:snapToGrid w:val="0"/>
        <w:spacing w:before="93" w:line="600" w:lineRule="exact"/>
        <w:ind w:firstLine="672" w:firstLineChars="210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纳入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平昌县岩口乡2019年度部门决算编制范围的二级预算单位包括：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93" w:line="600" w:lineRule="exact"/>
        <w:ind w:firstLine="1120" w:firstLineChars="3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平昌县岩口小学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93" w:line="600" w:lineRule="exact"/>
        <w:ind w:firstLine="1120" w:firstLineChars="3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平昌县岩口乡卫生院</w:t>
      </w:r>
    </w:p>
    <w:p>
      <w:pPr>
        <w:pStyle w:val="6"/>
        <w:adjustRightInd w:val="0"/>
        <w:snapToGrid w:val="0"/>
        <w:spacing w:before="93" w:line="600" w:lineRule="exact"/>
        <w:ind w:firstLine="1120" w:firstLineChars="35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6"/>
        <w:adjustRightInd w:val="0"/>
        <w:snapToGrid w:val="0"/>
        <w:spacing w:before="93"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before="0" w:line="560" w:lineRule="exact"/>
        <w:ind w:right="440"/>
        <w:jc w:val="right"/>
        <w:rPr>
          <w:rStyle w:val="26"/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color w:val="000000"/>
        </w:rPr>
        <w:t>第二部分</w:t>
      </w:r>
      <w:r>
        <w:rPr>
          <w:rFonts w:hint="default" w:ascii="Times New Roman" w:hAnsi="Times New Roman" w:eastAsia="黑体" w:cs="Times New Roman"/>
          <w:color w:val="000000"/>
        </w:rPr>
        <w:t xml:space="preserve"> </w:t>
      </w:r>
      <w:r>
        <w:rPr>
          <w:rStyle w:val="26"/>
          <w:rFonts w:hint="default" w:ascii="Times New Roman" w:hAnsi="Times New Roman" w:eastAsia="黑体" w:cs="Times New Roman"/>
          <w:b w:val="0"/>
          <w:bCs w:val="0"/>
        </w:rPr>
        <w:t>201</w:t>
      </w:r>
      <w:r>
        <w:rPr>
          <w:rStyle w:val="26"/>
          <w:rFonts w:hint="eastAsia" w:eastAsia="黑体" w:cs="Times New Roman"/>
          <w:b w:val="0"/>
          <w:bCs w:val="0"/>
          <w:lang w:val="en-US" w:eastAsia="zh-CN"/>
        </w:rPr>
        <w:t>9</w:t>
      </w:r>
      <w:r>
        <w:rPr>
          <w:rStyle w:val="26"/>
          <w:rFonts w:hint="default" w:ascii="Times New Roman" w:hAnsi="Times New Roman" w:eastAsia="黑体" w:cs="Times New Roman"/>
          <w:b w:val="0"/>
          <w:bCs w:val="0"/>
        </w:rPr>
        <w:t>年度部门决算情况说明</w:t>
      </w:r>
      <w:bookmarkEnd w:id="22"/>
      <w:bookmarkEnd w:id="23"/>
    </w:p>
    <w:p>
      <w:pPr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pStyle w:val="25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ind w:firstLineChars="0"/>
        <w:outlineLvl w:val="1"/>
        <w:rPr>
          <w:rStyle w:val="27"/>
          <w:rFonts w:hint="default" w:ascii="Times New Roman" w:hAnsi="Times New Roman" w:eastAsia="黑体" w:cs="Times New Roman"/>
          <w:b w:val="0"/>
        </w:rPr>
      </w:pPr>
      <w:bookmarkStart w:id="24" w:name="_Toc15377205"/>
      <w:bookmarkStart w:id="25" w:name="_Toc15396603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收</w:t>
      </w:r>
      <w:r>
        <w:rPr>
          <w:rStyle w:val="27"/>
          <w:rFonts w:hint="default" w:ascii="Times New Roman" w:hAnsi="Times New Roman" w:eastAsia="黑体" w:cs="Times New Roman"/>
          <w:b w:val="0"/>
        </w:rPr>
        <w:t>入支出决算总体情况说明</w:t>
      </w:r>
      <w:bookmarkEnd w:id="24"/>
      <w:bookmarkEnd w:id="25"/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201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年度收、支总计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各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3779.61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万元。与201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年相比，收、支总计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各增加</w:t>
      </w:r>
      <w:r>
        <w:rPr>
          <w:rFonts w:hint="eastAsia" w:eastAsia="仿宋" w:cs="Times New Roman"/>
          <w:color w:val="000000"/>
          <w:sz w:val="32"/>
          <w:szCs w:val="32"/>
          <w:highlight w:val="none"/>
          <w:lang w:val="en-US" w:eastAsia="zh-CN"/>
        </w:rPr>
        <w:t>593.74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增长</w:t>
      </w:r>
      <w:r>
        <w:rPr>
          <w:rFonts w:hint="eastAsia" w:eastAsia="仿宋" w:cs="Times New Roman"/>
          <w:color w:val="000000"/>
          <w:sz w:val="32"/>
          <w:szCs w:val="32"/>
          <w:highlight w:val="none"/>
          <w:lang w:val="en-US" w:eastAsia="zh-CN"/>
        </w:rPr>
        <w:t>18.64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主要变动原因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eastAsia="仿宋" w:cs="Times New Roman"/>
          <w:color w:val="000000"/>
          <w:sz w:val="32"/>
          <w:szCs w:val="32"/>
          <w:highlight w:val="none"/>
          <w:lang w:val="en-US" w:eastAsia="zh-CN"/>
        </w:rPr>
        <w:t>2019年节能环保以及其他城乡社区项目支出增幅较大。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84065" cy="2755265"/>
            <wp:effectExtent l="0" t="0" r="6985" b="6985"/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ind w:firstLineChars="0"/>
        <w:outlineLvl w:val="1"/>
        <w:rPr>
          <w:rStyle w:val="27"/>
          <w:rFonts w:hint="default" w:ascii="Times New Roman" w:hAnsi="Times New Roman" w:eastAsia="黑体" w:cs="Times New Roman"/>
          <w:b w:val="0"/>
        </w:rPr>
      </w:pPr>
      <w:bookmarkStart w:id="26" w:name="_Toc15396604"/>
      <w:bookmarkStart w:id="27" w:name="_Toc15377206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收</w:t>
      </w:r>
      <w:r>
        <w:rPr>
          <w:rStyle w:val="27"/>
          <w:rFonts w:hint="default" w:ascii="Times New Roman" w:hAnsi="Times New Roman" w:eastAsia="黑体" w:cs="Times New Roman"/>
          <w:b w:val="0"/>
        </w:rPr>
        <w:t>入决算情况说明</w:t>
      </w:r>
      <w:bookmarkEnd w:id="26"/>
      <w:bookmarkEnd w:id="27"/>
    </w:p>
    <w:p>
      <w:pPr>
        <w:spacing w:line="600" w:lineRule="exact"/>
        <w:ind w:firstLine="640" w:firstLineChars="200"/>
        <w:outlineLvl w:val="1"/>
        <w:rPr>
          <w:rFonts w:ascii="仿宋" w:hAnsi="仿宋" w:eastAsia="仿宋"/>
          <w:color w:val="000000"/>
          <w:sz w:val="32"/>
          <w:szCs w:val="32"/>
        </w:rPr>
      </w:pPr>
      <w:bookmarkStart w:id="28" w:name="_Toc15396605"/>
      <w:bookmarkStart w:id="29" w:name="_Toc15377207"/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9年本年收入合计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3779.61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万元，其中：一般公共预算财政拨款收入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3659.03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96.81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；政府性基金预算财政拨款收入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24.5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0.65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；事业收入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96.09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2.54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4578350" cy="2828290"/>
            <wp:effectExtent l="0" t="0" r="12700" b="0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ind w:firstLineChars="0"/>
        <w:outlineLvl w:val="1"/>
        <w:rPr>
          <w:rStyle w:val="27"/>
          <w:rFonts w:hint="default" w:ascii="Times New Roman" w:hAnsi="Times New Roman" w:eastAsia="黑体" w:cs="Times New Roman"/>
          <w:b w:val="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支</w:t>
      </w:r>
      <w:r>
        <w:rPr>
          <w:rStyle w:val="27"/>
          <w:rFonts w:hint="default" w:ascii="Times New Roman" w:hAnsi="Times New Roman" w:eastAsia="黑体" w:cs="Times New Roman"/>
          <w:b w:val="0"/>
        </w:rPr>
        <w:t>出决算情况说明</w:t>
      </w:r>
      <w:bookmarkEnd w:id="28"/>
      <w:bookmarkEnd w:id="29"/>
    </w:p>
    <w:p>
      <w:pPr>
        <w:spacing w:line="600" w:lineRule="exact"/>
        <w:ind w:firstLine="640" w:firstLineChars="200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30" w:name="_Toc15396606"/>
      <w:bookmarkStart w:id="31" w:name="_Toc15377208"/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9年本年支出合计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3779.61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1965.23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51.99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；项目支出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1814.38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48.01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outlineLvl w:val="1"/>
        <w:rPr>
          <w:rStyle w:val="27"/>
          <w:rFonts w:hint="default" w:ascii="Times New Roman" w:hAnsi="Times New Roman" w:eastAsia="黑体" w:cs="Times New Roman"/>
          <w:b w:val="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四、财</w:t>
      </w:r>
      <w:r>
        <w:rPr>
          <w:rStyle w:val="27"/>
          <w:rFonts w:hint="default" w:ascii="Times New Roman" w:hAnsi="Times New Roman" w:eastAsia="黑体" w:cs="Times New Roman"/>
          <w:b w:val="0"/>
        </w:rPr>
        <w:t>政拨款收入支出决算总体情况说明</w:t>
      </w:r>
      <w:bookmarkEnd w:id="30"/>
      <w:bookmarkEnd w:id="31"/>
    </w:p>
    <w:p>
      <w:pPr>
        <w:spacing w:line="600" w:lineRule="exact"/>
        <w:ind w:firstLine="640" w:firstLineChars="200"/>
        <w:outlineLvl w:val="1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bookmarkStart w:id="32" w:name="_Toc15396607"/>
      <w:bookmarkStart w:id="33" w:name="_Toc15377209"/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9年财政拨款收、支总计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3683.52</w:t>
      </w:r>
      <w:r>
        <w:rPr>
          <w:rFonts w:hint="eastAsia" w:ascii="仿宋" w:hAnsi="仿宋" w:eastAsia="仿宋"/>
          <w:color w:val="000000"/>
          <w:sz w:val="32"/>
          <w:szCs w:val="32"/>
        </w:rPr>
        <w:t>万元。与</w:t>
      </w: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8年相比，财政拨款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收、支总计各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573.58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万元，增长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18.44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。主要变动原因是2019年节能环保以及其他城乡社区项目支出增幅较大。</w:t>
      </w:r>
    </w:p>
    <w:p>
      <w:pPr>
        <w:spacing w:line="600" w:lineRule="exact"/>
        <w:ind w:firstLine="640" w:firstLineChars="200"/>
        <w:outlineLvl w:val="1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84065" cy="2755265"/>
            <wp:effectExtent l="0" t="0" r="6985" b="698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  <w:bookmarkEnd w:id="33"/>
      <w:bookmarkStart w:id="34" w:name="_Toc15396608"/>
      <w:bookmarkStart w:id="35" w:name="_Toc15377214"/>
    </w:p>
    <w:p>
      <w:pPr>
        <w:spacing w:line="600" w:lineRule="exact"/>
        <w:ind w:firstLine="640" w:firstLineChars="200"/>
        <w:outlineLvl w:val="1"/>
        <w:rPr>
          <w:rStyle w:val="27"/>
          <w:rFonts w:ascii="黑体" w:hAnsi="黑体" w:eastAsia="黑体"/>
          <w:b w:val="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Style w:val="27"/>
          <w:rFonts w:hint="eastAsia" w:ascii="黑体" w:hAnsi="黑体" w:eastAsia="黑体"/>
          <w:b w:val="0"/>
        </w:rPr>
        <w:t>般公共预算财政拨款支出决算情况说明</w:t>
      </w: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36" w:name="_Toc15377210"/>
      <w:r>
        <w:rPr>
          <w:rFonts w:hint="eastAsia" w:ascii="仿宋" w:hAnsi="仿宋" w:eastAsia="仿宋"/>
          <w:b/>
          <w:color w:val="000000"/>
          <w:sz w:val="32"/>
          <w:szCs w:val="32"/>
        </w:rPr>
        <w:t>（一）一般公共预算财政拨款支出决算总体情况</w:t>
      </w:r>
      <w:bookmarkEnd w:id="36"/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9年一般公共预算财政拨款支出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3659.03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万元，占本年支出合计的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96.81</w:t>
      </w:r>
      <w:r>
        <w:rPr>
          <w:rFonts w:hint="eastAsia" w:ascii="仿宋" w:hAnsi="仿宋" w:eastAsia="仿宋"/>
          <w:color w:val="000000"/>
          <w:sz w:val="32"/>
          <w:szCs w:val="32"/>
        </w:rPr>
        <w:t>%。与2018年相比，一般公共预算财政拨款</w:t>
      </w:r>
      <w:r>
        <w:rPr>
          <w:rFonts w:hint="default" w:ascii="仿宋" w:hAnsi="仿宋" w:eastAsia="仿宋"/>
          <w:color w:val="000000"/>
          <w:sz w:val="32"/>
          <w:szCs w:val="32"/>
        </w:rPr>
        <w:t>增加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692.59</w:t>
      </w:r>
      <w:r>
        <w:rPr>
          <w:rFonts w:hint="default" w:ascii="仿宋" w:hAnsi="仿宋" w:eastAsia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23.35</w:t>
      </w:r>
      <w:r>
        <w:rPr>
          <w:rFonts w:hint="default"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。主要变动原因是2019年节能环保以及其他城乡社区项目支出增幅较大。</w:t>
      </w: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37" w:name="_Toc15377211"/>
      <w:r>
        <w:rPr>
          <w:rFonts w:hint="eastAsia" w:ascii="仿宋" w:hAnsi="仿宋" w:eastAsia="仿宋"/>
          <w:b/>
          <w:color w:val="000000"/>
          <w:sz w:val="32"/>
          <w:szCs w:val="32"/>
        </w:rPr>
        <w:t>（二）一般公共预算财政拨款支出决算结构情况</w:t>
      </w:r>
      <w:bookmarkEnd w:id="37"/>
    </w:p>
    <w:p>
      <w:pPr>
        <w:spacing w:line="600" w:lineRule="exact"/>
        <w:ind w:firstLine="640"/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9年一般公共预算财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政拨款支出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3659.03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万元，主要用于以下方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</w:t>
      </w:r>
      <w:r>
        <w:rPr>
          <w:rFonts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一般公共服务支出（类）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305.48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8.35</w:t>
      </w:r>
      <w:r>
        <w:rPr>
          <w:rFonts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国防支出（类）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1万元，占0.02%；公共安全支出（类）15.4万元，占0.42%；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教育支出（类）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1124.24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30.73</w:t>
      </w:r>
      <w:r>
        <w:rPr>
          <w:rFonts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文化旅游体育与传媒支出（类）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37.2万元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占1.02%；社会保障和就业支出（类）267.2万元，占7.3%；卫生健康支出（类）239.55万元，占6.55%；节能环保支出（类）292.47万元，占7.99%；城乡社区支出（类）340.81万元，占9.31%；农林水支出（类）956.28万元，占26.14%；交通运输支出（类）7.4万元，占0.2%；灾害防治及应急管理支出（类）22万元，占0.6%；其他支出（类）50万元，占1.37%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4578350" cy="4565650"/>
            <wp:effectExtent l="0" t="0" r="12700" b="0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38" w:name="_Toc15377212"/>
      <w:r>
        <w:rPr>
          <w:rFonts w:hint="eastAsia" w:ascii="仿宋" w:hAnsi="仿宋" w:eastAsia="仿宋"/>
          <w:b/>
          <w:color w:val="000000"/>
          <w:sz w:val="32"/>
          <w:szCs w:val="32"/>
        </w:rPr>
        <w:t>（三）一般公共预算财政拨款支出决算具体情况</w:t>
      </w:r>
      <w:bookmarkEnd w:id="38"/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color w:val="FF0000"/>
          <w:sz w:val="32"/>
          <w:szCs w:val="32"/>
        </w:rPr>
      </w:pPr>
      <w:bookmarkStart w:id="39" w:name="_Toc15378460"/>
      <w:bookmarkStart w:id="40" w:name="_Toc15377444"/>
      <w:bookmarkStart w:id="41" w:name="_Toc15377213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般公共预算支出决算数为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3659.03万元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16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Style w:val="16"/>
          <w:rFonts w:hint="eastAsia" w:ascii="仿宋" w:hAnsi="仿宋" w:eastAsia="仿宋"/>
          <w:bCs/>
          <w:color w:val="000000"/>
          <w:sz w:val="32"/>
          <w:szCs w:val="32"/>
        </w:rPr>
        <w:t>预算</w:t>
      </w:r>
      <w:r>
        <w:rPr>
          <w:rStyle w:val="16"/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6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16"/>
          <w:rFonts w:hint="eastAsia" w:ascii="仿宋" w:hAnsi="仿宋" w:eastAsia="仿宋"/>
          <w:bCs/>
          <w:color w:val="000000"/>
          <w:sz w:val="32"/>
          <w:szCs w:val="32"/>
        </w:rPr>
        <w:t>。其中：</w:t>
      </w:r>
      <w:bookmarkEnd w:id="39"/>
      <w:bookmarkEnd w:id="40"/>
      <w:bookmarkEnd w:id="41"/>
    </w:p>
    <w:p>
      <w:pPr>
        <w:numPr>
          <w:ilvl w:val="0"/>
          <w:numId w:val="3"/>
        </w:numPr>
        <w:spacing w:line="600" w:lineRule="exact"/>
        <w:ind w:firstLine="640" w:firstLineChars="200"/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一般公共服务（类）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人大事务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（款）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其他人大事务支出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（项）</w:t>
      </w:r>
      <w:r>
        <w:rPr>
          <w:rStyle w:val="16"/>
          <w:rFonts w:ascii="仿宋" w:hAnsi="仿宋" w:eastAsia="仿宋"/>
          <w:b w:val="0"/>
          <w:bCs w:val="0"/>
          <w:color w:val="000000"/>
          <w:sz w:val="32"/>
          <w:szCs w:val="32"/>
        </w:rPr>
        <w:t xml:space="preserve">: 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支出决算为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2.3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万元，完成预算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100</w:t>
      </w:r>
      <w:r>
        <w:rPr>
          <w:rStyle w:val="16"/>
          <w:rFonts w:ascii="仿宋" w:hAnsi="仿宋" w:eastAsia="仿宋"/>
          <w:b w:val="0"/>
          <w:bCs w:val="0"/>
          <w:color w:val="000000"/>
          <w:sz w:val="32"/>
          <w:szCs w:val="32"/>
        </w:rPr>
        <w:t>%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</w:rPr>
      </w:pP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一般公共服务（类）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政协事务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</w:rPr>
        <w:t>（款）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其他政协事务支出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</w:rPr>
        <w:t>（项）</w:t>
      </w:r>
      <w:r>
        <w:rPr>
          <w:rStyle w:val="16"/>
          <w:rFonts w:ascii="仿宋" w:hAnsi="仿宋" w:eastAsia="仿宋"/>
          <w:b w:val="0"/>
          <w:bCs w:val="0"/>
          <w:color w:val="000000"/>
          <w:sz w:val="32"/>
          <w:szCs w:val="32"/>
          <w:highlight w:val="none"/>
        </w:rPr>
        <w:t xml:space="preserve">: 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</w:rPr>
        <w:t>支出决算为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0.5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</w:rPr>
        <w:t>万元，完成预算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Style w:val="16"/>
          <w:rFonts w:ascii="仿宋" w:hAnsi="仿宋" w:eastAsia="仿宋"/>
          <w:b w:val="0"/>
          <w:bCs w:val="0"/>
          <w:color w:val="000000"/>
          <w:sz w:val="32"/>
          <w:szCs w:val="32"/>
          <w:highlight w:val="none"/>
        </w:rPr>
        <w:t>%</w:t>
      </w: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Style w:val="16"/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eastAsia="zh-CN"/>
        </w:rPr>
        <w:t>一般公共服务（类）政府办公厅（室）及相关机构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eastAsia="zh-CN"/>
        </w:rPr>
        <w:t>事务（款）行政运行（项）：支出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val="en-US" w:eastAsia="zh-CN"/>
        </w:rPr>
        <w:t>249.63万元，完成预算100%。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eastAsia="zh-CN"/>
        </w:rPr>
        <w:t>一般公共服务（类）政府办公厅（室）及相关机构事务（款）事业运行（项）：支出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val="en-US" w:eastAsia="zh-CN"/>
        </w:rPr>
        <w:t>13.59万元，完成预算100%。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eastAsia="zh-CN"/>
        </w:rPr>
        <w:t>一般公共服务（类）财政事务（款）信息化建设（项）：支出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val="en-US" w:eastAsia="zh-CN"/>
        </w:rPr>
        <w:t>3.63万元，完成预算100%。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eastAsia="zh-CN"/>
        </w:rPr>
        <w:t>一般公共服务（类）财政事务（款）事业运行（项）：支出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highlight w:val="none"/>
          <w:lang w:val="en-US" w:eastAsia="zh-CN"/>
        </w:rPr>
        <w:t>19.79万元，完成预算100%。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一般公共服务（类）财政事务（款）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其他财政事务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5.11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一般公共服务（类）群众团体事务（款）其他群众团体事务支出（项）：支出决算为3.5万元，完成预算100%。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一般公共服务（类）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市场监督管理事务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事业运行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7.43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国防支出（类）国防动员（款）民兵（项）：支出决算为1万元，完成预算100%。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公共安全支出（类）司法（款）其他司法支出（项）：支出决算为1万元，完成预算100%。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公共安全支出（类）其他公共安全支出（款）其他公共安全支出（项）：支出决算为14.4万元，完成预算100%。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教育支出（类）普通教育（款）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学前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教育（项）：支出决算为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69.7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教育支出（类）普通教育（款）小学教育（项）：支出决算为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620.34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教育支出（类）普通教育（款）初中教育（项）：支出决算为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406.2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教育支出（类）普通教育（款）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其他普通教育支出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文化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旅游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体育与传媒支出（类）文化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和旅游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（款）其他文化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和旅游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支出（项）：支出决算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19.02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文化旅游体育与传媒支出（类）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广播电视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（款）其他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广播电视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支出（项）：支出决算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7.25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文化旅游体育与传媒支出（类）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其他文化体育与传媒支出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其他文化体育与传媒支出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10.93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社会保障和就业支出（类）人力资源和社会保障管理事务（款）社会保险经办机构（项）：支出决算为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13.69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社会保障和就业支出（类）行政事业单位离退休（款）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事业单位离退休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2.82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社会保障和就业支出（类）行政事业单位离退休（款）机关事业单位基本养老保险缴费支出（项）：支出决算为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162.44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社会保障和就业支出（类）行政事业单位离退休（款）机关事业单位职业年金缴费支出（项）：支出决算为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21.38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社会保障和就业支出（类）抚恤（款）义务兵优待（项）：支出决算为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8.69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社会保障和就业支出（类）最低生活保障（款）城市最低生活保障金支出（项）：支出决算为2.23万元，完成预算100%。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社会保障和就业支出（类）最低生活保障（款）农村最低生活保障金支出（项）：支出决算为1.87万元，完成预算100%。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社会保障和就业支出（类）特困人员救助供养（款）农村特困人员救助供养支出（项）：支出决算为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财政对其他社会保险基金的补助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财政对工伤保险基金的补助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13.3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社会保障和就业支出（类）财政对其他社会保险基金的补助（款）财政对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生育保险基金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的补助（项）：支出决算为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0.78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（类）基层医疗卫生机构（款）乡镇卫生院（项）：支出决算为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70.31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（类）基层医疗卫生机构（款）其他基层医疗卫生机构支出（项）：支出决算为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22.32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卫生健康支出（类）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公共卫生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基本公共卫生服务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62.09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卫生健康支出（类）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行政事业单位医疗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行政单位医疗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12.82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卫生健康支出（类）行政事业单位医疗（款）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事业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单位医疗（项）：支出决算为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69.79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卫生健康支出（类）行政事业单位医疗（款）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公务员医疗补助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2.22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节能环保支出（类）自然生态保护（款）农村环境保护（项）：支出决算为9万元，完成预算100%。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节能环保支出（类）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退耕还林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退耕还林现金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4.47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节能环保支出（类）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其他节能环保支出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其他节能环保支出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279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城乡社区支出（类）城乡社区环境卫生（款）城乡社区环境卫生（项）：支出决算为7万元，完成预算100%。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城乡社区支出（类）其他城乡社区支出（款）其他城乡社区支出（项）：支出决算为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333.81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农林水支出（类）农业（款）事业运行（项）：支出决算为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53.04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农林水支出（类）农业（款）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其他农业支出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172.57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农林水支出（类）林业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和草原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（款）事业机构（项）：支出决算为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7.41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农林水支出（类）林业和草原（款）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森林生态效益补偿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10.62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农林水支出（类）水利（款）其他水利支出（项）：支出决算为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227.19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农林水支出（类）扶贫（款）其他扶贫支出（项）：支出决算为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235.39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农林水支出（类）农村综合改革（款）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对村级一事一议的补助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3.33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农林水支出（类）农村综合改革（款）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对村民委员会和村党支部的补助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164.57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农林水支出（类）农村综合改革（款）农村综合改革示范试点补助（项）：支出决算为45万元，完成预算100%。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目标价格补贴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其他目标价格补贴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37.16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交通运输支出（类）公路水路运输（款）公路养护（项）：支出决算为1.46万元，完成预算100%。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交通运输支出（类）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其他交通运输支出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其他交通运输支出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5.94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灾害防治及应急管理支出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应急管理事务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安全监管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（项）：支出决算为3万元，完成预算100%。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灾害防治及应急管理支出（类）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自然灾害救治及恢复重建支出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中央自然灾害生活补助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55.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（类）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（款）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其他支出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（项）：支出决算为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万元，完成预算100%。</w:t>
      </w:r>
    </w:p>
    <w:bookmarkEnd w:id="34"/>
    <w:bookmarkEnd w:id="35"/>
    <w:p>
      <w:pPr>
        <w:tabs>
          <w:tab w:val="right" w:pos="8306"/>
        </w:tabs>
        <w:spacing w:line="600" w:lineRule="exact"/>
        <w:ind w:firstLine="640"/>
        <w:outlineLvl w:val="1"/>
        <w:rPr>
          <w:rStyle w:val="27"/>
        </w:rPr>
      </w:pPr>
      <w:bookmarkStart w:id="42" w:name="_Toc15377215"/>
      <w:bookmarkStart w:id="43" w:name="_Toc15396609"/>
      <w:r>
        <w:rPr>
          <w:rFonts w:hint="eastAsia" w:ascii="黑体" w:eastAsia="黑体"/>
          <w:color w:val="000000"/>
          <w:sz w:val="32"/>
          <w:szCs w:val="32"/>
        </w:rPr>
        <w:t>六</w:t>
      </w:r>
      <w:r>
        <w:rPr>
          <w:rFonts w:hint="eastAsia" w:ascii="黑体" w:eastAsia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Style w:val="27"/>
          <w:rFonts w:hint="eastAsia" w:ascii="黑体" w:hAnsi="黑体" w:eastAsia="黑体"/>
          <w:b w:val="0"/>
        </w:rPr>
        <w:t>般公共预算财政拨款基本支出决算情况说明</w:t>
      </w:r>
      <w:r>
        <w:rPr>
          <w:rStyle w:val="27"/>
          <w:rFonts w:ascii="黑体" w:hAnsi="黑体" w:eastAsia="黑体"/>
          <w:b w:val="0"/>
        </w:rPr>
        <w:tab/>
      </w:r>
    </w:p>
    <w:p>
      <w:pPr>
        <w:spacing w:line="60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9年一般公共预算财政拨款基本支出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1869.15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/>
        <w:outlineLvl w:val="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人员经费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1566.28</w:t>
      </w:r>
      <w:r>
        <w:rPr>
          <w:rFonts w:hint="eastAsia" w:ascii="仿宋" w:hAnsi="仿宋" w:eastAsia="仿宋"/>
          <w:color w:val="000000"/>
          <w:sz w:val="32"/>
          <w:szCs w:val="32"/>
        </w:rPr>
        <w:t>万元，主要包括：基本工资、津贴补贴、绩效工资、机关事业单位基本养老保险缴费、职业年金缴费、职工基本医疗保险缴费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、公务员医疗补助缴费、</w:t>
      </w:r>
      <w:r>
        <w:rPr>
          <w:rFonts w:hint="eastAsia" w:ascii="仿宋" w:hAnsi="仿宋" w:eastAsia="仿宋"/>
          <w:color w:val="000000"/>
          <w:sz w:val="32"/>
          <w:szCs w:val="32"/>
        </w:rPr>
        <w:t>其他社会保障缴费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、医疗费、其他工资福利支出、</w:t>
      </w:r>
      <w:r>
        <w:rPr>
          <w:rFonts w:hint="eastAsia" w:ascii="仿宋" w:hAnsi="仿宋" w:eastAsia="仿宋"/>
          <w:color w:val="000000"/>
          <w:sz w:val="32"/>
          <w:szCs w:val="32"/>
        </w:rPr>
        <w:t>其他工资福利支出、退休费、抚恤金、生活补助、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助学金</w:t>
      </w:r>
      <w:r>
        <w:rPr>
          <w:rFonts w:hint="eastAsia" w:ascii="仿宋" w:hAnsi="仿宋" w:eastAsia="仿宋"/>
          <w:color w:val="000000"/>
          <w:sz w:val="32"/>
          <w:szCs w:val="32"/>
        </w:rPr>
        <w:t>等。</w:t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</w:rPr>
        <w:t>　　日常公用经费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302.87</w:t>
      </w:r>
      <w:r>
        <w:rPr>
          <w:rFonts w:hint="eastAsia" w:ascii="仿宋" w:hAnsi="仿宋" w:eastAsia="仿宋"/>
          <w:color w:val="000000"/>
          <w:sz w:val="32"/>
          <w:szCs w:val="32"/>
        </w:rPr>
        <w:t>万元，主要包括：办公费、印刷费、水费、电费、邮电费、物业管理费、差旅费、维修（护）费、会议费、培训费、公务接待费、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专用材料费、劳务费、工会经费、其他交通费、其他商品和服务支出</w:t>
      </w:r>
      <w:r>
        <w:rPr>
          <w:rFonts w:hint="eastAsia" w:ascii="仿宋" w:hAnsi="仿宋" w:eastAsia="仿宋"/>
          <w:color w:val="000000"/>
          <w:sz w:val="32"/>
          <w:szCs w:val="32"/>
        </w:rPr>
        <w:t>等。</w:t>
      </w:r>
    </w:p>
    <w:bookmarkEnd w:id="42"/>
    <w:bookmarkEnd w:id="43"/>
    <w:p>
      <w:pPr>
        <w:spacing w:line="600" w:lineRule="exact"/>
        <w:ind w:firstLine="640"/>
        <w:outlineLvl w:val="1"/>
        <w:rPr>
          <w:rStyle w:val="27"/>
          <w:rFonts w:ascii="黑体" w:hAnsi="黑体" w:eastAsia="黑体"/>
          <w:b w:val="0"/>
        </w:rPr>
      </w:pPr>
      <w:bookmarkStart w:id="44" w:name="_Toc15377218"/>
      <w:bookmarkStart w:id="45" w:name="_Toc15396610"/>
      <w:r>
        <w:rPr>
          <w:rFonts w:hint="eastAsia" w:ascii="黑体" w:eastAsia="黑体"/>
          <w:color w:val="000000"/>
          <w:sz w:val="32"/>
          <w:szCs w:val="32"/>
        </w:rPr>
        <w:t>七、</w:t>
      </w:r>
      <w:r>
        <w:rPr>
          <w:rStyle w:val="27"/>
          <w:rFonts w:hint="eastAsia" w:ascii="黑体" w:hAnsi="黑体" w:eastAsia="黑体"/>
        </w:rPr>
        <w:t>“</w:t>
      </w:r>
      <w:r>
        <w:rPr>
          <w:rStyle w:val="27"/>
          <w:rFonts w:hint="eastAsia" w:ascii="黑体" w:hAnsi="黑体" w:eastAsia="黑体"/>
          <w:b w:val="0"/>
        </w:rPr>
        <w:t>三公”经费财政拨款支出决算情况说明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46" w:name="_Toc15377216"/>
      <w:r>
        <w:rPr>
          <w:rFonts w:hint="eastAsia" w:ascii="仿宋" w:hAnsi="仿宋" w:eastAsia="仿宋"/>
          <w:b/>
          <w:color w:val="000000"/>
          <w:sz w:val="32"/>
          <w:szCs w:val="32"/>
        </w:rPr>
        <w:t>（一）“三公”经费财政拨款支出决算总体情况说明</w:t>
      </w:r>
      <w:bookmarkEnd w:id="46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1.8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，决算数与预算数持平。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47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（二）“三公”经费财政拨款支出决算具体情况说明</w:t>
      </w:r>
      <w:bookmarkEnd w:id="47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9年“三公”经费财政拨款支出决算中，因公出国（境）费支出决算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因公出国（境）经费支出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全年安排因公出国（境）团组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次，出国（境）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人。因公出国（境）支出决算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比较无变化。</w:t>
      </w:r>
    </w:p>
    <w:p>
      <w:pPr>
        <w:spacing w:line="600" w:lineRule="exact"/>
        <w:ind w:firstLine="640"/>
        <w:rPr>
          <w:rFonts w:hint="eastAsia" w:ascii="仿宋_GB2312" w:eastAsia="仿宋_GB2312"/>
          <w:b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公务用车购置及运行维护费支出决算比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持平。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6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16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0.07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3.74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主要原因是严格执行公务接待标准，减少接待次数，压缩“三公”经费支出。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其中：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国内公务接待支出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1.8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万元，主要用于执行公务、开展业务活动开支的交通费、住宿费、用餐费等。</w:t>
      </w:r>
    </w:p>
    <w:bookmarkEnd w:id="44"/>
    <w:bookmarkEnd w:id="45"/>
    <w:p>
      <w:pPr>
        <w:spacing w:line="600" w:lineRule="exact"/>
        <w:ind w:firstLine="640"/>
        <w:outlineLvl w:val="1"/>
        <w:rPr>
          <w:rStyle w:val="27"/>
          <w:rFonts w:ascii="黑体" w:hAnsi="黑体" w:eastAsia="黑体"/>
        </w:rPr>
      </w:pPr>
      <w:r>
        <w:rPr>
          <w:rFonts w:hint="eastAsia" w:ascii="黑体" w:eastAsia="黑体"/>
          <w:color w:val="000000"/>
          <w:sz w:val="32"/>
          <w:szCs w:val="32"/>
        </w:rPr>
        <w:t>八、</w:t>
      </w:r>
      <w:r>
        <w:rPr>
          <w:rStyle w:val="27"/>
          <w:rFonts w:hint="eastAsia" w:ascii="黑体" w:hAnsi="黑体" w:eastAsia="黑体"/>
          <w:b w:val="0"/>
        </w:rPr>
        <w:t>政府性基金预算支出决算情况说明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9年政府性基金预算拨款支出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24.5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numPr>
          <w:ilvl w:val="0"/>
          <w:numId w:val="4"/>
        </w:numPr>
        <w:spacing w:line="600" w:lineRule="exact"/>
        <w:ind w:firstLine="640"/>
        <w:outlineLvl w:val="1"/>
        <w:rPr>
          <w:rStyle w:val="27"/>
          <w:rFonts w:ascii="黑体" w:hAnsi="黑体" w:eastAsia="黑体"/>
          <w:b w:val="0"/>
        </w:rPr>
      </w:pPr>
      <w:bookmarkStart w:id="48" w:name="_Toc15377219"/>
      <w:bookmarkStart w:id="49" w:name="_Toc15396611"/>
      <w:r>
        <w:rPr>
          <w:rStyle w:val="27"/>
          <w:rFonts w:hint="eastAsia" w:ascii="黑体" w:hAnsi="黑体" w:eastAsia="黑体"/>
          <w:b w:val="0"/>
        </w:rPr>
        <w:t>国有资本经营预算支出决算情况说明</w:t>
      </w:r>
      <w:bookmarkEnd w:id="48"/>
      <w:bookmarkEnd w:id="49"/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9年国有资本经营预算拨款支出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outlineLvl w:val="1"/>
        <w:rPr>
          <w:rStyle w:val="27"/>
          <w:rFonts w:ascii="黑体" w:hAnsi="黑体" w:eastAsia="黑体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Style w:val="27"/>
          <w:rFonts w:hint="eastAsia" w:ascii="黑体" w:hAnsi="黑体" w:eastAsia="黑体"/>
        </w:rPr>
        <w:t>、</w:t>
      </w:r>
      <w:r>
        <w:rPr>
          <w:rStyle w:val="27"/>
          <w:rFonts w:hint="eastAsia" w:ascii="黑体" w:hAnsi="黑体" w:eastAsia="黑体"/>
          <w:b w:val="0"/>
        </w:rPr>
        <w:t>其他重要事项的情况说明</w:t>
      </w: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（一）机关运行经费支出情况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9年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平昌县岩口乡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机关</w:t>
      </w:r>
      <w:r>
        <w:rPr>
          <w:rFonts w:hint="eastAsia" w:ascii="仿宋_GB2312" w:eastAsia="仿宋_GB2312"/>
          <w:color w:val="000000"/>
          <w:sz w:val="32"/>
          <w:szCs w:val="32"/>
        </w:rPr>
        <w:t>运行经费支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161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38.36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31.28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脱贫攻坚开支大。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（二）政府采购支出情况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9年，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平昌县岩口乡政</w:t>
      </w:r>
      <w:r>
        <w:rPr>
          <w:rFonts w:hint="eastAsia" w:ascii="仿宋_GB2312" w:eastAsia="仿宋_GB2312"/>
          <w:color w:val="000000"/>
          <w:sz w:val="32"/>
          <w:szCs w:val="32"/>
        </w:rPr>
        <w:t>府采购支出总额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万元，其中：政府采购货物支出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50" w:name="_Toc15377224"/>
      <w:r>
        <w:rPr>
          <w:rFonts w:hint="eastAsia" w:ascii="仿宋" w:hAnsi="仿宋" w:eastAsia="仿宋"/>
          <w:b/>
          <w:color w:val="000000"/>
          <w:sz w:val="32"/>
          <w:szCs w:val="32"/>
        </w:rPr>
        <w:t>（三）国有资产占有使用情况</w:t>
      </w:r>
      <w:bookmarkEnd w:id="50"/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截至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9年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平昌县岩口乡</w:t>
      </w:r>
      <w:r>
        <w:rPr>
          <w:rFonts w:hint="eastAsia" w:ascii="仿宋_GB2312" w:eastAsia="仿宋_GB2312"/>
          <w:color w:val="000000"/>
          <w:sz w:val="32"/>
          <w:szCs w:val="32"/>
        </w:rPr>
        <w:t>共有车辆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辆，其中：其他用车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，主要用于医疗救护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（四）预算绩效管理情况。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要求，本部门在年初预算编制阶段，组织对本部门项目开展了预算事前绩效评估，对2个项目编制了绩效目标，预算执行过程中，选取2个项目开展绩效监控，年终执行完毕后，对2个项目开展了绩效目标完成情况梳理填报。 本部门按要求对201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开展绩效自评，从评价情况来看，单位积极履职，强化管理，较好地完成了年度工作目标。通过加强预算收支管理，不断建交健全内部管理制度，梳理内部管理流程，部门整体支出管理水平得到提升。根据部门整体支出绩效评价指标体系，从预算编制、预算执行、综合管理、整体效益等方面开展自评，我单位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年度评价得分为98分，但在预算执行进度方面还存在不及时的问题。本部门还自行组织了2个项目绩效评价，从评价情况来看，达到了预先绩效目标的要求。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项目绩效目标完成情况。</w:t>
      </w:r>
      <w:r>
        <w:rPr>
          <w:rFonts w:hint="eastAsia" w:ascii="楷体_GB2312" w:hAnsi="楷体_GB2312" w:eastAsia="楷体_GB2312" w:cs="楷体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本部门在2019年度部门决算中反映“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城区社区环境</w:t>
      </w:r>
      <w:r>
        <w:rPr>
          <w:rFonts w:ascii="仿宋_GB2312" w:hAnsi="仿宋_GB2312" w:eastAsia="仿宋_GB2312" w:cs="仿宋_GB2312"/>
          <w:sz w:val="32"/>
          <w:szCs w:val="32"/>
        </w:rPr>
        <w:t>””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农村综合改革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个项目绩效目标实际完成情况。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城乡社区环境卫生项目绩效目标完成情况综述。项目年初预算数7万元，执行数为7万元，完成预算的100%。设定绩效目标为：每一天有环卫工人打扫场镇清洁卫生，定期将场镇垃圾运往巴中处理，全年场镇街道干净整洁。通过该项目的实施，岩口场镇街道天天有环卫工人打扫，垃圾及时清运，街道干净，环境优美，给岩口乡人民生活营造了舒适的环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（2）农村综合改革项目绩效目标完成情况综述。项目全年预算数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100%。设定绩效目标为：全乡9个行政村两委正常运行，村干部积极为民服务、助力脱贫攻坚和维护社会稳定。通过该项目的实施，全乡及时兑现了村干部报酬，9个村两委正常运转，所有村在职干部加入驻村工作队，助力脱贫攻坚，及时化解村内矛盾，维护社会稳定。</w:t>
      </w:r>
    </w:p>
    <w:tbl>
      <w:tblPr>
        <w:tblStyle w:val="14"/>
        <w:tblpPr w:leftFromText="180" w:rightFromText="180" w:vertAnchor="text" w:horzAnchor="page" w:tblpX="1791" w:tblpY="3171"/>
        <w:tblOverlap w:val="never"/>
        <w:tblW w:w="83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1348"/>
        <w:gridCol w:w="2329"/>
        <w:gridCol w:w="1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83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(2019 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城乡社区环境卫生项目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5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平昌县岩口乡人民政府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预算数: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7万元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执行数: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7万元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3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岩口乡场镇街道每一天有环卫工人打扫清洁卫生，定期将场镇垃圾运往巴中处理，全年场镇街道干净整洁。</w:t>
            </w:r>
          </w:p>
        </w:tc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岩口场镇街道天天有环卫工人打扫，垃圾及时清运，街道干净，环境优美，给岩口乡人民生活营造了舒适的环境。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预期指标值(包含数字及文字描述)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卫生打扫次数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卫生打扫次数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打扫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275次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打扫完成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垃圾清运次数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垃圾清运次数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垃圾清运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135次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垃圾清运完成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全年场镇街道干净整洁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全年场镇街道干净整洁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全年场镇街道干净整洁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全年场镇街道干净整洁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场镇居民满意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场镇居民满意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满意度达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98%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满意度达到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83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(2019 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农村综合改革项目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5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平昌县岩口乡人民政府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预算数: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212.9万元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执行数: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212.9万元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212.9万元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212.9万元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3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个行政村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两委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正常运行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，村干部积极为民服务、助力脱贫攻坚和维护社会稳定。</w:t>
            </w:r>
          </w:p>
        </w:tc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全乡及时兑现了村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干部报酬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9个村两委正常运转，所有村在职干部加入驻村工作队，助力脱贫攻坚，及时化解村内矛盾，维护社会稳定。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预期指标值(包含数字及文字描述)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村（居）两委正常运行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村（居）两委正常运行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村（居）两委正常运行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村（居）两委正常运行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村（居）在职干部加入驻村工作队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村（居）在职干部加入驻村工作队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28位村（居）干部加入驻村工作队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28位村（居）干部加入驻村工作队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维护社会稳定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及时化解村内矛盾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化解矛盾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化解矛盾、维护全镇各村（居）和谐稳定。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全乡居民满意度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全乡居民满意度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满意度达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98%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满意度达到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98%</w:t>
            </w:r>
          </w:p>
        </w:tc>
      </w:tr>
    </w:tbl>
    <w:p>
      <w:pPr>
        <w:spacing w:line="58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2.部门绩效评价结果。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本部门按要求对2019年部门整体支出绩效评价情况开展自评，《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平昌县岩口乡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2019年部门整体支出绩效评价报告》见附件（附件1）。</w:t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本部门自行组织对城乡社区环境卫生项目、农村综合改革项目开展了绩效评价，《城乡社区环境卫生项目2019年绩效评价报告》见附件（附件2）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《农村综合改革项目2019年绩效评价报告》见附件（附件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560" w:lineRule="exact"/>
        <w:ind w:firstLine="663" w:firstLineChars="150"/>
        <w:jc w:val="center"/>
        <w:outlineLvl w:val="0"/>
        <w:rPr>
          <w:rStyle w:val="26"/>
          <w:rFonts w:hint="default" w:ascii="Times New Roman" w:hAnsi="Times New Roman" w:eastAsia="黑体" w:cs="Times New Roman"/>
          <w:b w:val="0"/>
        </w:rPr>
      </w:pPr>
      <w:bookmarkStart w:id="51" w:name="_Toc15377225"/>
      <w:bookmarkStart w:id="52" w:name="_Toc15396613"/>
      <w:r>
        <w:rPr>
          <w:rFonts w:hint="default" w:ascii="Times New Roman" w:hAnsi="Times New Roman" w:eastAsia="黑体" w:cs="Times New Roman"/>
          <w:b/>
          <w:color w:val="000000"/>
          <w:sz w:val="44"/>
          <w:szCs w:val="44"/>
        </w:rPr>
        <w:t>名</w:t>
      </w:r>
      <w:r>
        <w:rPr>
          <w:rStyle w:val="26"/>
          <w:rFonts w:hint="default" w:ascii="Times New Roman" w:hAnsi="Times New Roman" w:eastAsia="黑体" w:cs="Times New Roman"/>
          <w:b w:val="0"/>
        </w:rPr>
        <w:t>词解释</w:t>
      </w:r>
      <w:bookmarkEnd w:id="51"/>
      <w:bookmarkEnd w:id="52"/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53" w:name="_Toc15396614"/>
      <w:bookmarkStart w:id="54" w:name="_Toc15377226"/>
      <w:r>
        <w:rPr>
          <w:rFonts w:hint="default" w:ascii="Times New Roman" w:hAnsi="Times New Roman" w:eastAsia="仿宋_GB2312" w:cs="Times New Roman"/>
          <w:sz w:val="32"/>
          <w:szCs w:val="32"/>
        </w:rPr>
        <w:t>1.财政拨款收入：指岩口乡人民政府从同级财政部门取得的财政预算资金。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2.事业收入：指事业单位开展专业业务活动及辅助活动取得的收入。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一般公共服务支出等支出（类）人大事务（款）其他人大事务支出（项）是指人大工作经费。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一般公共服务支出等支出（类）政协事务（款）一般其他政协事务支出（项）: 是指关工委经费。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一般公共服务支出等支出（类）政府办公厅（室）及相关机构事务（款）行政运行（项）：是政府行政运行人员工资、办公经费等。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一般公共服务支出等支出（类）财政事务（款）事业运行（项）：是指核算中心人员工资、公业务费。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．一般公共服务支出等支出（类）群众团体事务（款）其他群众团体事务支出（项）：是指群团组织经费。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.国防支出（类）国防动员（款）民兵项）：是指征兵工作经费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教育支出（类）普通教育（款）小学教育（项）: 是指岩口小学老师的工资、公业务费、学生助学金等。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教育支出（类）  普通教育（款）初中教育（项）: 是指岩口中学初中老师的工资、公业务费、学生助学金等。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.社会保障和就业（类）行政事业单位离退休（款）机关事业单位基本养老保险缴费支出（项）：是指单位缴纳的集体部份养老保险经费。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、社会保障和就业（类）抚恤（款）义务兵优待（项）：是指给义务兵发的补助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、社会保障和就业（类）社会福利（款）儿童福利（项）：是指儿童的福利补助。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、社会保障和就业（类）最低生活保障（款）城市最低生活保障金支出（项）：是指城市低保。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、社会保障和就业（类）最低生活保障（款）农村最低生活保障金支出（项）：是指农村低保。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、社会保障和就业（类）特困人员救助供养（款）农村特困人员救助供养支出（项）：是指特困家庭补助。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17、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社会保障和就业（类）其他社会保障和就业支出（款）其他社会保障和就业支出项）：是指其他社会保障和就业支出。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.医疗卫生与计划生育（类）基层医疗卫生机构（款）乡镇卫生院（项）:是指岩口卫生院人员工资、公业务费用等。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.医疗卫生与计划生育（类）基层医疗卫生机构（款）其他基层医疗卫生机构支出（项）: 是指岩口卫生院人员工资、公业务费用、村卫生室补助等。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.医疗卫生与计划生育（类）公共卫生（款）基本公共卫生服务（项）: 是指岩口卫生院人员工资、公业务费用、村卫生室补助等。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.医疗卫生与计划生育（类）医疗救助（款）城乡医疗救助（项）:是指城乡医疗救助人员。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.节能环保支出（类）自然生态保护（款）农村环境保护（项）:是指农村</w:t>
      </w:r>
      <w:r>
        <w:rPr>
          <w:rFonts w:hint="eastAsia" w:eastAsia="仿宋_GB2312" w:cs="Times New Roman"/>
          <w:sz w:val="32"/>
          <w:szCs w:val="32"/>
          <w:lang w:eastAsia="zh-CN"/>
        </w:rPr>
        <w:t>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清运费用。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br w:type="page"/>
      </w:r>
    </w:p>
    <w:bookmarkEnd w:id="53"/>
    <w:p>
      <w:pPr>
        <w:spacing w:line="600" w:lineRule="exact"/>
        <w:jc w:val="center"/>
        <w:outlineLvl w:val="0"/>
        <w:rPr>
          <w:rStyle w:val="26"/>
          <w:rFonts w:ascii="黑体" w:hAnsi="黑体" w:eastAsia="黑体"/>
          <w:b w:val="0"/>
        </w:rPr>
      </w:pPr>
      <w:bookmarkStart w:id="55" w:name="_Toc15396618"/>
      <w:r>
        <w:rPr>
          <w:rFonts w:hint="eastAsia" w:ascii="黑体" w:hAnsi="黑体" w:eastAsia="黑体"/>
          <w:color w:val="000000"/>
          <w:sz w:val="44"/>
          <w:szCs w:val="44"/>
        </w:rPr>
        <w:t>第</w:t>
      </w:r>
      <w:r>
        <w:rPr>
          <w:rStyle w:val="26"/>
          <w:rFonts w:hint="eastAsia" w:ascii="黑体" w:hAnsi="黑体" w:eastAsia="黑体"/>
          <w:b w:val="0"/>
        </w:rPr>
        <w:t>四部分 附件</w:t>
      </w:r>
    </w:p>
    <w:p>
      <w:pPr>
        <w:spacing w:line="600" w:lineRule="exact"/>
        <w:jc w:val="left"/>
        <w:outlineLvl w:val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40"/>
          <w:szCs w:val="44"/>
          <w:lang w:val="zh-CN"/>
        </w:rPr>
      </w:pPr>
      <w:r>
        <w:rPr>
          <w:rFonts w:hint="eastAsia" w:ascii="方正小标宋简体" w:hAnsi="宋体" w:eastAsia="方正小标宋简体"/>
          <w:color w:val="000000"/>
          <w:kern w:val="0"/>
          <w:sz w:val="40"/>
          <w:szCs w:val="44"/>
          <w:lang w:eastAsia="zh-CN"/>
        </w:rPr>
        <w:t>平昌县岩口乡</w:t>
      </w:r>
      <w:r>
        <w:rPr>
          <w:rFonts w:ascii="方正小标宋简体" w:hAnsi="宋体" w:eastAsia="方正小标宋简体"/>
          <w:color w:val="000000"/>
          <w:kern w:val="0"/>
          <w:sz w:val="40"/>
          <w:szCs w:val="44"/>
        </w:rPr>
        <w:t>2019年部门</w:t>
      </w:r>
      <w:r>
        <w:rPr>
          <w:rFonts w:hint="eastAsia" w:ascii="方正小标宋简体" w:hAnsi="宋体" w:eastAsia="方正小标宋简体"/>
          <w:color w:val="000000"/>
          <w:kern w:val="0"/>
          <w:sz w:val="40"/>
          <w:szCs w:val="44"/>
          <w:lang w:val="zh-CN"/>
        </w:rPr>
        <w:t>整体支出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kern w:val="0"/>
          <w:sz w:val="40"/>
          <w:szCs w:val="44"/>
          <w:lang w:val="zh-CN"/>
        </w:rPr>
      </w:pPr>
      <w:r>
        <w:rPr>
          <w:rFonts w:hint="eastAsia" w:ascii="方正小标宋简体" w:hAnsi="宋体" w:eastAsia="方正小标宋简体"/>
          <w:color w:val="000000"/>
          <w:kern w:val="0"/>
          <w:sz w:val="40"/>
          <w:szCs w:val="44"/>
          <w:lang w:val="zh-CN"/>
        </w:rPr>
        <w:t>绩效评价报告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zh-CN"/>
        </w:rPr>
        <w:t>部门（单位）概况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岩口乡位于平昌县东部，距县城68公里。东接平昌县马鞍乡，南靠达州市宣汉县马渡乡，西邻平昌县泥龙镇和北望平昌县笔山镇。地势西北高，东南低，属于丘陵地带。全乡人口3929户13518人，幅圆面积31.1平方公里，辖9个行政村，86个农业社。耕地面积25775亩。扩权强能后，内设会计核算、村乡建设服务、社会事业服务、农业综合服务、便民服务5个中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（二）机构职能。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（1）执行本级人民代表大会的决议和上级国家行政机关的决定和命令；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（2）执行本行政区域内的经济和社会发展计划、预算，管理本行政区域内的经济、教育、科学、文化、卫生、体育事业和财政、民政、公安、司法行政、计划生育等行政工作；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（3）保护社会主义的全民所有的财产和劳动群众集体所有的财产，保护公民私人所有的合法财产，维护社会秩序，保障公民的人身权利、民主权利和其他权利；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（4）保护各种经济组织的合法权益；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（5）保障宪法和法律赋予妇女的男女平等、同工同酬和婚姻自由等各项权利；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（6）办理上级人民政府交办的其他事项。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（三）人员概况。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年政府及五中心编制总数43人，年末财政供养人数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人（政府机关17人，会计核算中心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人、村镇建设服务中心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人、农业综合服务中心8人、社会事业服务中心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人、便民服务中心2人）。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年本年收入合计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3779.61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万元，其中：一般公共预算财政拨款收入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3659.03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万元，占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96.81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%；政府性基金预算财政拨款收入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24.5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万元，占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0.65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%；事业收入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96.09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万元，占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2.54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（二）部门财政资金支出情况。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  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年本年支出合计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3779.61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万元，其中：基本支出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1965.23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万元，占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51.99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%；项目支出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1814.38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万元，占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48.01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三、部门整体预算绩效管理情况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（1）行政运转保障有力。201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认真贯彻落实新《预算法》，继续实施积极的财政政策和稳健的货币政策，有序推进公共财政管理体制框架的建立。坚持“保工资、保运转、保民生、促发展”和“优化支出结构，确保财政收支平衡”的原则，实行“全口径预算”和“零基预算”，并结合部门财务管理及财政支出绩效评价，编制部门收支预算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（2）201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在上级党委政府的领导下，在上级主管部门的指导下，认真贯彻执行党的各项方针政策和中央八项规定，乡人民政府紧紧围绕“抓发展、强基础、富民生、增收入、控支出”，压缩一切非生产性支出，在保证政府正常运转的前提下，促进辖区内各项公益事业的发展，加大农村产业结构调整，培植新的税源，全面完成了上级组织交办的各项工作任务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（3）机关厉行节约见效。推进机关财政</w:t>
      </w:r>
      <w:bookmarkStart w:id="69" w:name="_GoBack"/>
      <w:bookmarkEnd w:id="69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科学化、精细化管理，加强预算执行，量入为出。机关的差旅费、会议费、公务接待费等支出，与201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年相比略有下降。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（1）资金绩效分配情况执行《四川省省级财政专项资金绩效分配管理暂行办法》，实行绩效分配情况是专款专用、专项考核、立项申报、民主决策、严格监督等。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（2）项目资金的管理情况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项目资金的管理严格按会计法及现金管理条例执行，对各项工程款的支付实行银行直达第三方（劳务方），严禁现金支付并建立了各项管理制度。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（3）绩效目标完成情况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年各项绩效目标完成情况良好，已开工的各项工程进展顺利，各项资金支付有条不紊，各项预期经济效益、社会效益明显。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岩口乡将政府各职能部门与中心一并纳入统一考核，制定了明确管理考核办法和项目实施原则及预期效益目标。科学的管理办法，严格的考核程序，其结果在综合管理上的表现为201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年预算完成率达到100%。通过公示和测评，人民群众认可率达95%以上。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总之，一年来，本级预算收支情况良好，圆满完成了上级交办的各项工作任务，乡人民政府紧紧围绕“抓发展、强基础、富民生、增收入、控支出”，压缩一切非生产性支出，在保证政府正常运转的前提下，促进辖区内各项公益事业的发展，加大农村产业结构调整，培植新的税源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（三）存在问题。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（1）预算收支执行中行政经费偏低，因脱贫攻坚任务重，运行成本相对增加，公用经费预算难以维持正常运转，同时，由于乡乡事权复杂，面宽量大，预算分项支出很难一一对应。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（2）项目资金整合力度不够，乡村两级工程支付困难重重，平时资金释放较少，年终拨付一款多用，专项资金难以保证专款专用。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（三）改进建议。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  <w:t>进一步加强《预算法》的学习，加强财务管理，加强业务培训，特别是对村一级会计业务的指导；加强对绩效评价结果的运用和宣传，总结经验，纠正错误，完善整改。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zh-CN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平昌县岩口乡</w:t>
      </w: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城乡社区环境卫生</w:t>
      </w:r>
      <w:r>
        <w:rPr>
          <w:rFonts w:hint="eastAsia" w:ascii="黑体" w:hAnsi="黑体" w:eastAsia="黑体" w:cs="黑体"/>
          <w:sz w:val="44"/>
          <w:szCs w:val="44"/>
        </w:rPr>
        <w:t>项目支出绩效评价报告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城乡社区环境卫生项目是治理岩口乡场镇街道卫生整治的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。项目主要根据项目指标、效益指标和群众满意度指标评价。具体是：卫生打扫次数、垃圾清运次数、全年场镇街道干净整洁程度和场镇居民满意度来评价。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项目绩效评价总体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达到了预期目标。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岩口乡人民政府将项目委托给土坝村村委会，由土坝村根据需要聘用清洁工及垃圾清运车。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土坝村委会按月支付清洁工工人工资及垃圾清运费。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岩口乡场镇全年卫生打扫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次数、垃圾清运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次数、全年场镇街道干净整洁和场镇居民满意度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项目经费不足和结构单一。</w:t>
      </w:r>
    </w:p>
    <w:p>
      <w:pPr>
        <w:numPr>
          <w:ilvl w:val="0"/>
          <w:numId w:val="2"/>
        </w:numPr>
        <w:spacing w:line="580" w:lineRule="exact"/>
        <w:ind w:left="1360" w:leftChars="0" w:hanging="7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相关措施建议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探索政府补助和场镇受益居民共同负担场镇卫生支出。</w:t>
      </w:r>
    </w:p>
    <w:p>
      <w:pPr>
        <w:pStyle w:val="3"/>
        <w:rPr>
          <w:rStyle w:val="26"/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rPr>
          <w:rStyle w:val="26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Style w:val="26"/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Style w:val="26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平昌县岩口乡</w:t>
      </w: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农村综合改革</w:t>
      </w:r>
      <w:r>
        <w:rPr>
          <w:rFonts w:hint="eastAsia" w:ascii="黑体" w:hAnsi="黑体" w:eastAsia="黑体" w:cs="黑体"/>
          <w:sz w:val="44"/>
          <w:szCs w:val="44"/>
        </w:rPr>
        <w:t>项目支出绩效评价报告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7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岩口乡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人民政府辖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个行政村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（居）。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经费资金总额为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212.9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万元，切实保障基层组织正常开展活动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所有村（居）在职干部全部加入驻村工作队，助力脱贫攻坚，及时化解村内矛盾，维护社会稳定。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解决村（社区）群众最关心、最直接、最急需解决的各类事项。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（一）评价结论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通过该项目的实施，全乡及时兑现了村（居）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干部报酬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9个村（居）两委正常运转，所有村（居）在职干部全部加入驻村工作队，助力脱贫攻坚，及时化解村内矛盾，维护社会稳定。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按照县委统一规划，该项目用于解决全乡村（居）干部的生活补助，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为了更好的使用专项经费，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我单位严格按照资金使用要求，按照季度拨付，乡财政所对资金进行支付及监管。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农村综合改革项目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补助专项经费计划批复资金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212.9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万元，实际到位资金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212.9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万元，总共支出资金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212.9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3、项目绩效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已将资金全额拨付到村，资金已支出完成率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100%。按照年初既定目标，开展群众工作。保障了基础组织的正常运转率达到了100%，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所有村（居）在职干部加入驻村工作队，助力脱贫攻坚，及时化解村内矛盾，维护社会稳定。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三、存在的问题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资金方面，经费的资金投入结构目前较为单一，主要是政府投资，基层干部报酬低的问题难以解决。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42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相关措施建议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42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要通过发展壮大集体经济，创收节支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 xml:space="preserve">解决资金不足的问题。 </w:t>
      </w:r>
      <w:bookmarkEnd w:id="54"/>
      <w:bookmarkEnd w:id="55"/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420" w:leftChars="0" w:right="0" w:rightChars="0" w:firstLine="2200" w:firstLineChars="500"/>
        <w:jc w:val="both"/>
        <w:textAlignment w:val="auto"/>
        <w:rPr>
          <w:rStyle w:val="26"/>
          <w:rFonts w:ascii="黑体" w:hAnsi="黑体" w:eastAsia="黑体"/>
          <w:b w:val="0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第</w:t>
      </w:r>
      <w:r>
        <w:rPr>
          <w:rStyle w:val="26"/>
          <w:rFonts w:hint="eastAsia" w:ascii="黑体" w:hAnsi="黑体" w:eastAsia="黑体"/>
          <w:b w:val="0"/>
        </w:rPr>
        <w:t>五部分 附表</w:t>
      </w:r>
    </w:p>
    <w:p>
      <w:pPr>
        <w:spacing w:line="600" w:lineRule="exact"/>
        <w:jc w:val="center"/>
        <w:outlineLvl w:val="0"/>
        <w:rPr>
          <w:rFonts w:ascii="仿宋" w:hAnsi="仿宋" w:eastAsia="仿宋"/>
          <w:b/>
          <w:color w:val="000000"/>
          <w:sz w:val="44"/>
          <w:szCs w:val="44"/>
        </w:rPr>
      </w:pPr>
    </w:p>
    <w:p>
      <w:pPr>
        <w:pStyle w:val="3"/>
        <w:rPr>
          <w:rFonts w:ascii="仿宋" w:hAnsi="仿宋" w:eastAsia="仿宋"/>
          <w:color w:val="000000"/>
        </w:rPr>
      </w:pPr>
      <w:bookmarkStart w:id="56" w:name="_Toc15396619"/>
      <w:r>
        <w:rPr>
          <w:rFonts w:hint="eastAsia" w:ascii="仿宋" w:hAnsi="仿宋" w:eastAsia="仿宋"/>
          <w:b w:val="0"/>
          <w:color w:val="000000"/>
        </w:rPr>
        <w:t>一、收</w:t>
      </w:r>
      <w:r>
        <w:rPr>
          <w:rStyle w:val="27"/>
          <w:rFonts w:hint="eastAsia" w:ascii="仿宋" w:hAnsi="仿宋" w:eastAsia="仿宋"/>
          <w:b w:val="0"/>
          <w:bCs w:val="0"/>
        </w:rPr>
        <w:t>入支出决算总表</w:t>
      </w:r>
      <w:bookmarkEnd w:id="56"/>
    </w:p>
    <w:p>
      <w:pPr>
        <w:pStyle w:val="3"/>
        <w:rPr>
          <w:rFonts w:ascii="仿宋" w:hAnsi="仿宋" w:eastAsia="仿宋"/>
          <w:color w:val="000000"/>
        </w:rPr>
      </w:pPr>
      <w:bookmarkStart w:id="57" w:name="_Toc15396620"/>
      <w:r>
        <w:rPr>
          <w:rFonts w:hint="eastAsia" w:ascii="仿宋" w:hAnsi="仿宋" w:eastAsia="仿宋"/>
          <w:b w:val="0"/>
          <w:color w:val="000000"/>
        </w:rPr>
        <w:t>二、收</w:t>
      </w:r>
      <w:r>
        <w:rPr>
          <w:rStyle w:val="27"/>
          <w:rFonts w:hint="eastAsia" w:ascii="仿宋" w:hAnsi="仿宋" w:eastAsia="仿宋"/>
          <w:b w:val="0"/>
          <w:bCs w:val="0"/>
        </w:rPr>
        <w:t>入决算表</w:t>
      </w:r>
      <w:bookmarkEnd w:id="57"/>
    </w:p>
    <w:p>
      <w:pPr>
        <w:pStyle w:val="3"/>
        <w:rPr>
          <w:rFonts w:ascii="仿宋" w:hAnsi="仿宋" w:eastAsia="仿宋"/>
          <w:color w:val="000000"/>
        </w:rPr>
      </w:pPr>
      <w:bookmarkStart w:id="58" w:name="_Toc15396621"/>
      <w:r>
        <w:rPr>
          <w:rStyle w:val="27"/>
          <w:rFonts w:hint="eastAsia" w:ascii="仿宋" w:hAnsi="仿宋" w:eastAsia="仿宋"/>
          <w:b w:val="0"/>
          <w:bCs w:val="0"/>
        </w:rPr>
        <w:t>三、</w:t>
      </w:r>
      <w:r>
        <w:rPr>
          <w:rFonts w:hint="eastAsia" w:ascii="仿宋" w:hAnsi="仿宋" w:eastAsia="仿宋"/>
          <w:b w:val="0"/>
          <w:color w:val="000000"/>
        </w:rPr>
        <w:t>支</w:t>
      </w:r>
      <w:r>
        <w:rPr>
          <w:rStyle w:val="27"/>
          <w:rFonts w:hint="eastAsia" w:ascii="仿宋" w:hAnsi="仿宋" w:eastAsia="仿宋"/>
          <w:b w:val="0"/>
          <w:bCs w:val="0"/>
        </w:rPr>
        <w:t>出决算表</w:t>
      </w:r>
      <w:bookmarkEnd w:id="58"/>
    </w:p>
    <w:p>
      <w:pPr>
        <w:pStyle w:val="3"/>
        <w:rPr>
          <w:rFonts w:ascii="仿宋" w:hAnsi="仿宋" w:eastAsia="仿宋"/>
          <w:b w:val="0"/>
          <w:color w:val="000000"/>
        </w:rPr>
      </w:pPr>
      <w:bookmarkStart w:id="59" w:name="_Toc15396622"/>
      <w:r>
        <w:rPr>
          <w:rStyle w:val="27"/>
          <w:rFonts w:hint="eastAsia" w:ascii="仿宋" w:hAnsi="仿宋" w:eastAsia="仿宋"/>
          <w:b w:val="0"/>
          <w:bCs w:val="0"/>
        </w:rPr>
        <w:t>四、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27"/>
          <w:rFonts w:hint="eastAsia" w:ascii="仿宋" w:hAnsi="仿宋" w:eastAsia="仿宋"/>
          <w:b w:val="0"/>
          <w:bCs w:val="0"/>
        </w:rPr>
        <w:t>政拨款收入支出决算总表</w:t>
      </w:r>
      <w:bookmarkEnd w:id="59"/>
    </w:p>
    <w:p>
      <w:pPr>
        <w:pStyle w:val="3"/>
        <w:rPr>
          <w:rStyle w:val="27"/>
          <w:rFonts w:ascii="仿宋" w:hAnsi="仿宋" w:eastAsia="仿宋"/>
          <w:b w:val="0"/>
          <w:bCs w:val="0"/>
        </w:rPr>
      </w:pPr>
      <w:bookmarkStart w:id="60" w:name="_Toc15396623"/>
      <w:r>
        <w:rPr>
          <w:rStyle w:val="27"/>
          <w:rFonts w:hint="eastAsia" w:ascii="仿宋" w:hAnsi="仿宋" w:eastAsia="仿宋"/>
          <w:b w:val="0"/>
          <w:bCs w:val="0"/>
        </w:rPr>
        <w:t>五、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27"/>
          <w:rFonts w:hint="eastAsia" w:ascii="仿宋" w:hAnsi="仿宋" w:eastAsia="仿宋"/>
          <w:b w:val="0"/>
          <w:bCs w:val="0"/>
        </w:rPr>
        <w:t>政拨款支出决算明细表</w:t>
      </w:r>
      <w:bookmarkEnd w:id="60"/>
      <w:bookmarkStart w:id="61" w:name="_Toc15396624"/>
    </w:p>
    <w:p>
      <w:pPr>
        <w:pStyle w:val="3"/>
        <w:rPr>
          <w:rFonts w:ascii="仿宋" w:hAnsi="仿宋" w:eastAsia="仿宋"/>
          <w:color w:val="000000"/>
        </w:rPr>
      </w:pPr>
      <w:r>
        <w:rPr>
          <w:rStyle w:val="27"/>
          <w:rFonts w:hint="eastAsia" w:ascii="仿宋" w:hAnsi="仿宋" w:eastAsia="仿宋"/>
          <w:b w:val="0"/>
          <w:bCs w:val="0"/>
        </w:rPr>
        <w:t>六、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7"/>
          <w:rFonts w:hint="eastAsia" w:ascii="仿宋" w:hAnsi="仿宋" w:eastAsia="仿宋"/>
          <w:b w:val="0"/>
          <w:bCs w:val="0"/>
        </w:rPr>
        <w:t>般公共预算财政拨款支出决算表</w:t>
      </w:r>
      <w:bookmarkEnd w:id="61"/>
    </w:p>
    <w:p>
      <w:pPr>
        <w:pStyle w:val="3"/>
        <w:rPr>
          <w:rFonts w:ascii="仿宋" w:hAnsi="仿宋" w:eastAsia="仿宋"/>
          <w:color w:val="000000"/>
        </w:rPr>
      </w:pPr>
      <w:bookmarkStart w:id="62" w:name="_Toc15396625"/>
      <w:r>
        <w:rPr>
          <w:rStyle w:val="27"/>
          <w:rFonts w:hint="eastAsia" w:ascii="仿宋" w:hAnsi="仿宋" w:eastAsia="仿宋"/>
          <w:b w:val="0"/>
          <w:bCs w:val="0"/>
        </w:rPr>
        <w:t>七、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7"/>
          <w:rFonts w:hint="eastAsia" w:ascii="仿宋" w:hAnsi="仿宋" w:eastAsia="仿宋"/>
          <w:b w:val="0"/>
          <w:bCs w:val="0"/>
        </w:rPr>
        <w:t>般公共预算财政拨款支出决算明细表</w:t>
      </w:r>
      <w:bookmarkEnd w:id="62"/>
    </w:p>
    <w:p>
      <w:pPr>
        <w:pStyle w:val="3"/>
        <w:rPr>
          <w:rFonts w:ascii="仿宋" w:hAnsi="仿宋" w:eastAsia="仿宋"/>
          <w:color w:val="000000"/>
        </w:rPr>
      </w:pPr>
      <w:bookmarkStart w:id="63" w:name="_Toc15396626"/>
      <w:r>
        <w:rPr>
          <w:rStyle w:val="27"/>
          <w:rFonts w:hint="eastAsia" w:ascii="仿宋" w:hAnsi="仿宋" w:eastAsia="仿宋"/>
          <w:b w:val="0"/>
          <w:bCs w:val="0"/>
        </w:rPr>
        <w:t>八、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7"/>
          <w:rFonts w:hint="eastAsia" w:ascii="仿宋" w:hAnsi="仿宋" w:eastAsia="仿宋"/>
          <w:b w:val="0"/>
          <w:bCs w:val="0"/>
        </w:rPr>
        <w:t>般公共预算财政拨款基本支出决算表</w:t>
      </w:r>
      <w:bookmarkEnd w:id="63"/>
    </w:p>
    <w:p>
      <w:pPr>
        <w:pStyle w:val="3"/>
        <w:rPr>
          <w:rFonts w:ascii="仿宋" w:hAnsi="仿宋" w:eastAsia="仿宋"/>
          <w:color w:val="000000"/>
        </w:rPr>
      </w:pPr>
      <w:bookmarkStart w:id="64" w:name="_Toc15396627"/>
      <w:r>
        <w:rPr>
          <w:rStyle w:val="27"/>
          <w:rFonts w:hint="eastAsia" w:ascii="仿宋" w:hAnsi="仿宋" w:eastAsia="仿宋"/>
          <w:b w:val="0"/>
          <w:bCs w:val="0"/>
        </w:rPr>
        <w:t>九、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7"/>
          <w:rFonts w:hint="eastAsia" w:ascii="仿宋" w:hAnsi="仿宋" w:eastAsia="仿宋"/>
          <w:b w:val="0"/>
          <w:bCs w:val="0"/>
        </w:rPr>
        <w:t>般公共预算财政拨款项目支出决算表</w:t>
      </w:r>
      <w:bookmarkEnd w:id="64"/>
    </w:p>
    <w:p>
      <w:pPr>
        <w:pStyle w:val="3"/>
        <w:rPr>
          <w:rFonts w:ascii="仿宋" w:hAnsi="仿宋" w:eastAsia="仿宋"/>
          <w:color w:val="000000"/>
        </w:rPr>
      </w:pPr>
      <w:bookmarkStart w:id="65" w:name="_Toc15396628"/>
      <w:r>
        <w:rPr>
          <w:rStyle w:val="27"/>
          <w:rFonts w:hint="eastAsia" w:ascii="仿宋" w:hAnsi="仿宋" w:eastAsia="仿宋"/>
          <w:b w:val="0"/>
          <w:bCs w:val="0"/>
        </w:rPr>
        <w:t>十、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7"/>
          <w:rFonts w:hint="eastAsia" w:ascii="仿宋" w:hAnsi="仿宋" w:eastAsia="仿宋"/>
          <w:b w:val="0"/>
          <w:bCs w:val="0"/>
        </w:rPr>
        <w:t>般公共预算财政拨款“三公”经费支出决算表</w:t>
      </w:r>
      <w:bookmarkEnd w:id="65"/>
    </w:p>
    <w:p>
      <w:pPr>
        <w:pStyle w:val="3"/>
        <w:rPr>
          <w:rFonts w:ascii="仿宋" w:hAnsi="仿宋" w:eastAsia="仿宋"/>
          <w:color w:val="000000"/>
        </w:rPr>
      </w:pPr>
      <w:bookmarkStart w:id="66" w:name="_Toc15396629"/>
      <w:r>
        <w:rPr>
          <w:rStyle w:val="27"/>
          <w:rFonts w:hint="eastAsia" w:ascii="仿宋" w:hAnsi="仿宋" w:eastAsia="仿宋"/>
          <w:b w:val="0"/>
          <w:bCs w:val="0"/>
        </w:rPr>
        <w:t>十一、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27"/>
          <w:rFonts w:hint="eastAsia" w:ascii="仿宋" w:hAnsi="仿宋" w:eastAsia="仿宋"/>
          <w:b w:val="0"/>
          <w:bCs w:val="0"/>
        </w:rPr>
        <w:t>府性基金预算财政拨款收入支出决算表</w:t>
      </w:r>
      <w:bookmarkEnd w:id="66"/>
    </w:p>
    <w:p>
      <w:pPr>
        <w:pStyle w:val="3"/>
        <w:rPr>
          <w:rFonts w:ascii="仿宋" w:hAnsi="仿宋" w:eastAsia="仿宋"/>
          <w:color w:val="000000"/>
        </w:rPr>
      </w:pPr>
      <w:bookmarkStart w:id="67" w:name="_Toc15396630"/>
      <w:r>
        <w:rPr>
          <w:rStyle w:val="27"/>
          <w:rFonts w:hint="eastAsia" w:ascii="仿宋" w:hAnsi="仿宋" w:eastAsia="仿宋"/>
          <w:b w:val="0"/>
          <w:bCs w:val="0"/>
        </w:rPr>
        <w:t>十二、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27"/>
          <w:rFonts w:hint="eastAsia" w:ascii="仿宋" w:hAnsi="仿宋" w:eastAsia="仿宋"/>
          <w:b w:val="0"/>
          <w:bCs w:val="0"/>
        </w:rPr>
        <w:t>府性基金预算财政拨款“三公”经费支出决算表</w:t>
      </w:r>
      <w:bookmarkEnd w:id="67"/>
    </w:p>
    <w:p>
      <w:pPr>
        <w:pStyle w:val="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68" w:name="_Toc15396631"/>
      <w:r>
        <w:rPr>
          <w:rStyle w:val="27"/>
          <w:rFonts w:hint="eastAsia" w:ascii="仿宋" w:hAnsi="仿宋" w:eastAsia="仿宋"/>
          <w:b w:val="0"/>
          <w:bCs w:val="0"/>
        </w:rPr>
        <w:t>十三、</w:t>
      </w:r>
      <w:r>
        <w:rPr>
          <w:rFonts w:hint="eastAsia" w:ascii="仿宋" w:hAnsi="仿宋" w:eastAsia="仿宋"/>
          <w:b w:val="0"/>
          <w:color w:val="000000"/>
        </w:rPr>
        <w:t>国</w:t>
      </w:r>
      <w:r>
        <w:rPr>
          <w:rStyle w:val="27"/>
          <w:rFonts w:hint="eastAsia" w:ascii="仿宋" w:hAnsi="仿宋" w:eastAsia="仿宋"/>
          <w:b w:val="0"/>
          <w:bCs w:val="0"/>
        </w:rPr>
        <w:t>有资本经营预算支出决算表</w:t>
      </w:r>
      <w:bookmarkEnd w:id="68"/>
    </w:p>
    <w:p>
      <w:pPr>
        <w:rPr>
          <w:rStyle w:val="27"/>
          <w:rFonts w:hint="default" w:eastAsia="仿宋" w:cs="Times New Roman"/>
          <w:b w:val="0"/>
          <w:bCs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9CE69"/>
    <w:multiLevelType w:val="singleLevel"/>
    <w:tmpl w:val="9359CE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652CEC"/>
    <w:multiLevelType w:val="singleLevel"/>
    <w:tmpl w:val="CF652C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2FA047D"/>
    <w:multiLevelType w:val="singleLevel"/>
    <w:tmpl w:val="E2FA047D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1272550B"/>
    <w:multiLevelType w:val="multilevel"/>
    <w:tmpl w:val="127255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4F4BB1"/>
    <w:multiLevelType w:val="singleLevel"/>
    <w:tmpl w:val="324F4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974B48F"/>
    <w:multiLevelType w:val="singleLevel"/>
    <w:tmpl w:val="4974B4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D1333A0"/>
    <w:multiLevelType w:val="singleLevel"/>
    <w:tmpl w:val="7D133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729F"/>
    <w:rsid w:val="00156A34"/>
    <w:rsid w:val="00157BAB"/>
    <w:rsid w:val="001654D1"/>
    <w:rsid w:val="0018106D"/>
    <w:rsid w:val="001877A7"/>
    <w:rsid w:val="00191536"/>
    <w:rsid w:val="00196687"/>
    <w:rsid w:val="001C0962"/>
    <w:rsid w:val="001D42EA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42743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10F6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D1C8B"/>
    <w:rsid w:val="005D5CED"/>
    <w:rsid w:val="005F1A4C"/>
    <w:rsid w:val="00605688"/>
    <w:rsid w:val="006070AF"/>
    <w:rsid w:val="00607E6C"/>
    <w:rsid w:val="006101B1"/>
    <w:rsid w:val="00614E44"/>
    <w:rsid w:val="00622830"/>
    <w:rsid w:val="00630AEF"/>
    <w:rsid w:val="006325F8"/>
    <w:rsid w:val="00634C9A"/>
    <w:rsid w:val="006440E4"/>
    <w:rsid w:val="00657DC8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70712B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0B2"/>
    <w:rsid w:val="009315F9"/>
    <w:rsid w:val="00946945"/>
    <w:rsid w:val="00951248"/>
    <w:rsid w:val="0095152F"/>
    <w:rsid w:val="00954C49"/>
    <w:rsid w:val="0097099F"/>
    <w:rsid w:val="00971997"/>
    <w:rsid w:val="00971FFC"/>
    <w:rsid w:val="00974114"/>
    <w:rsid w:val="0098660A"/>
    <w:rsid w:val="009931C3"/>
    <w:rsid w:val="009B2C43"/>
    <w:rsid w:val="009B3B98"/>
    <w:rsid w:val="009B4EAE"/>
    <w:rsid w:val="009B7573"/>
    <w:rsid w:val="009C22F4"/>
    <w:rsid w:val="009C2E98"/>
    <w:rsid w:val="009D3447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804B1"/>
    <w:rsid w:val="00C91CBB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51276"/>
    <w:rsid w:val="00D7035F"/>
    <w:rsid w:val="00DA65AC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C7754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17B1"/>
    <w:rsid w:val="00F602DF"/>
    <w:rsid w:val="00F81FD9"/>
    <w:rsid w:val="00F841AA"/>
    <w:rsid w:val="00FA23E8"/>
    <w:rsid w:val="00FD3CC1"/>
    <w:rsid w:val="00FF1E02"/>
    <w:rsid w:val="00FF30B4"/>
    <w:rsid w:val="01404B2F"/>
    <w:rsid w:val="01523498"/>
    <w:rsid w:val="019F3AB5"/>
    <w:rsid w:val="01E05276"/>
    <w:rsid w:val="01E55A5F"/>
    <w:rsid w:val="021C2B27"/>
    <w:rsid w:val="02655A6F"/>
    <w:rsid w:val="02847A35"/>
    <w:rsid w:val="02A75482"/>
    <w:rsid w:val="02B60977"/>
    <w:rsid w:val="02EB1004"/>
    <w:rsid w:val="0365529F"/>
    <w:rsid w:val="03AD6241"/>
    <w:rsid w:val="03B206B1"/>
    <w:rsid w:val="03C61BEC"/>
    <w:rsid w:val="04232A16"/>
    <w:rsid w:val="044B2297"/>
    <w:rsid w:val="044F6C25"/>
    <w:rsid w:val="047678C2"/>
    <w:rsid w:val="047E30E0"/>
    <w:rsid w:val="04F73C27"/>
    <w:rsid w:val="052812C6"/>
    <w:rsid w:val="057D1182"/>
    <w:rsid w:val="05BD39F5"/>
    <w:rsid w:val="05C6526A"/>
    <w:rsid w:val="06033285"/>
    <w:rsid w:val="06F133DA"/>
    <w:rsid w:val="073224CB"/>
    <w:rsid w:val="076F250C"/>
    <w:rsid w:val="07CB7E67"/>
    <w:rsid w:val="080D4656"/>
    <w:rsid w:val="082615EE"/>
    <w:rsid w:val="085B07C9"/>
    <w:rsid w:val="08AF103A"/>
    <w:rsid w:val="08DA29F2"/>
    <w:rsid w:val="08E0059B"/>
    <w:rsid w:val="093C2178"/>
    <w:rsid w:val="094A2F63"/>
    <w:rsid w:val="098221A4"/>
    <w:rsid w:val="098C5D53"/>
    <w:rsid w:val="099B5C84"/>
    <w:rsid w:val="09A10B38"/>
    <w:rsid w:val="09CB4F8C"/>
    <w:rsid w:val="09CD45E5"/>
    <w:rsid w:val="09D33C02"/>
    <w:rsid w:val="09F54F39"/>
    <w:rsid w:val="0A6B0E82"/>
    <w:rsid w:val="0A6B38BA"/>
    <w:rsid w:val="0A7D025F"/>
    <w:rsid w:val="0AB21EEF"/>
    <w:rsid w:val="0B085DCC"/>
    <w:rsid w:val="0B48217C"/>
    <w:rsid w:val="0BE556FA"/>
    <w:rsid w:val="0C783A61"/>
    <w:rsid w:val="0C7B02A0"/>
    <w:rsid w:val="0C971C28"/>
    <w:rsid w:val="0CC0096F"/>
    <w:rsid w:val="0CF148DE"/>
    <w:rsid w:val="0CFA4B8C"/>
    <w:rsid w:val="0D3A2244"/>
    <w:rsid w:val="0D4516F6"/>
    <w:rsid w:val="0D5F37BF"/>
    <w:rsid w:val="0DEE7438"/>
    <w:rsid w:val="0E272FAB"/>
    <w:rsid w:val="0E6C2C42"/>
    <w:rsid w:val="0EAF5904"/>
    <w:rsid w:val="0ED33B73"/>
    <w:rsid w:val="0F1707A1"/>
    <w:rsid w:val="0F88033A"/>
    <w:rsid w:val="0FCC21AA"/>
    <w:rsid w:val="108020E1"/>
    <w:rsid w:val="109E0557"/>
    <w:rsid w:val="10C055FF"/>
    <w:rsid w:val="11064A2A"/>
    <w:rsid w:val="113F53FA"/>
    <w:rsid w:val="11997631"/>
    <w:rsid w:val="11AF1548"/>
    <w:rsid w:val="12BE164E"/>
    <w:rsid w:val="13255DFA"/>
    <w:rsid w:val="1435429F"/>
    <w:rsid w:val="146D6DBC"/>
    <w:rsid w:val="14970367"/>
    <w:rsid w:val="14AF7EE9"/>
    <w:rsid w:val="14B530D5"/>
    <w:rsid w:val="14F14870"/>
    <w:rsid w:val="14F603B2"/>
    <w:rsid w:val="150D2C6F"/>
    <w:rsid w:val="157647A2"/>
    <w:rsid w:val="15830005"/>
    <w:rsid w:val="15862315"/>
    <w:rsid w:val="15A01D62"/>
    <w:rsid w:val="1659401B"/>
    <w:rsid w:val="166E161C"/>
    <w:rsid w:val="16B83FE6"/>
    <w:rsid w:val="16BB723D"/>
    <w:rsid w:val="16F02509"/>
    <w:rsid w:val="174F605A"/>
    <w:rsid w:val="175C5D77"/>
    <w:rsid w:val="18033EFF"/>
    <w:rsid w:val="18531105"/>
    <w:rsid w:val="18983B04"/>
    <w:rsid w:val="19165242"/>
    <w:rsid w:val="192A7CEB"/>
    <w:rsid w:val="1934261A"/>
    <w:rsid w:val="198470D4"/>
    <w:rsid w:val="19F97A9D"/>
    <w:rsid w:val="1A0D21B2"/>
    <w:rsid w:val="1AAA77DE"/>
    <w:rsid w:val="1AAE1224"/>
    <w:rsid w:val="1B04765A"/>
    <w:rsid w:val="1B2A0C57"/>
    <w:rsid w:val="1B3377C7"/>
    <w:rsid w:val="1B406F75"/>
    <w:rsid w:val="1B6647FD"/>
    <w:rsid w:val="1BB03FF5"/>
    <w:rsid w:val="1BBD2FC3"/>
    <w:rsid w:val="1BCF1671"/>
    <w:rsid w:val="1C157ED9"/>
    <w:rsid w:val="1C7465AF"/>
    <w:rsid w:val="1CC500CC"/>
    <w:rsid w:val="1CFE276C"/>
    <w:rsid w:val="1D2E54C6"/>
    <w:rsid w:val="1D3D19A9"/>
    <w:rsid w:val="1D552434"/>
    <w:rsid w:val="1D8E4AD6"/>
    <w:rsid w:val="1E677847"/>
    <w:rsid w:val="1E950E30"/>
    <w:rsid w:val="1F0901A6"/>
    <w:rsid w:val="1F965934"/>
    <w:rsid w:val="1FCA5E05"/>
    <w:rsid w:val="201F66B8"/>
    <w:rsid w:val="208E53B6"/>
    <w:rsid w:val="20C8663E"/>
    <w:rsid w:val="219827D6"/>
    <w:rsid w:val="21AE096B"/>
    <w:rsid w:val="22155826"/>
    <w:rsid w:val="223C6B42"/>
    <w:rsid w:val="22A650E9"/>
    <w:rsid w:val="22B44106"/>
    <w:rsid w:val="23564CF2"/>
    <w:rsid w:val="23D9784F"/>
    <w:rsid w:val="240371BF"/>
    <w:rsid w:val="24140F24"/>
    <w:rsid w:val="24143654"/>
    <w:rsid w:val="24930718"/>
    <w:rsid w:val="25760B3D"/>
    <w:rsid w:val="261218E7"/>
    <w:rsid w:val="26242953"/>
    <w:rsid w:val="26C71F28"/>
    <w:rsid w:val="27650ADE"/>
    <w:rsid w:val="27677CFA"/>
    <w:rsid w:val="27937D6A"/>
    <w:rsid w:val="27CE6A51"/>
    <w:rsid w:val="27DF490E"/>
    <w:rsid w:val="27F2619F"/>
    <w:rsid w:val="27FD5069"/>
    <w:rsid w:val="281370A0"/>
    <w:rsid w:val="283304DD"/>
    <w:rsid w:val="286458FC"/>
    <w:rsid w:val="287D1DFC"/>
    <w:rsid w:val="28A24B7A"/>
    <w:rsid w:val="294120DB"/>
    <w:rsid w:val="298C089F"/>
    <w:rsid w:val="299E06D5"/>
    <w:rsid w:val="29FD04D3"/>
    <w:rsid w:val="2A1451F8"/>
    <w:rsid w:val="2A8C256A"/>
    <w:rsid w:val="2AA22A3D"/>
    <w:rsid w:val="2ADE19C1"/>
    <w:rsid w:val="2B3E3B45"/>
    <w:rsid w:val="2B5823A0"/>
    <w:rsid w:val="2BC91365"/>
    <w:rsid w:val="2C3C5ED4"/>
    <w:rsid w:val="2C426068"/>
    <w:rsid w:val="2C456D99"/>
    <w:rsid w:val="2C5354CC"/>
    <w:rsid w:val="2C75304A"/>
    <w:rsid w:val="2CED2723"/>
    <w:rsid w:val="2CEE2DD0"/>
    <w:rsid w:val="2D885EF6"/>
    <w:rsid w:val="2DCA2909"/>
    <w:rsid w:val="2E354351"/>
    <w:rsid w:val="2E74389B"/>
    <w:rsid w:val="2EC877F5"/>
    <w:rsid w:val="2F2705EC"/>
    <w:rsid w:val="2F506130"/>
    <w:rsid w:val="2F6646E3"/>
    <w:rsid w:val="2FB521C8"/>
    <w:rsid w:val="30017F0E"/>
    <w:rsid w:val="30F9596C"/>
    <w:rsid w:val="31040A9D"/>
    <w:rsid w:val="31155852"/>
    <w:rsid w:val="314D560F"/>
    <w:rsid w:val="31531762"/>
    <w:rsid w:val="319F7F4E"/>
    <w:rsid w:val="31A903CF"/>
    <w:rsid w:val="31D41EFE"/>
    <w:rsid w:val="31F5010D"/>
    <w:rsid w:val="321C64E3"/>
    <w:rsid w:val="32621CB4"/>
    <w:rsid w:val="33076CF1"/>
    <w:rsid w:val="3326551B"/>
    <w:rsid w:val="33434816"/>
    <w:rsid w:val="33BB68B9"/>
    <w:rsid w:val="33BC0111"/>
    <w:rsid w:val="33C53F7A"/>
    <w:rsid w:val="33C555C3"/>
    <w:rsid w:val="33E30B50"/>
    <w:rsid w:val="33E648F7"/>
    <w:rsid w:val="33EC77BC"/>
    <w:rsid w:val="34775B32"/>
    <w:rsid w:val="348F3A31"/>
    <w:rsid w:val="35486DBF"/>
    <w:rsid w:val="357F13C2"/>
    <w:rsid w:val="362D762B"/>
    <w:rsid w:val="36530255"/>
    <w:rsid w:val="36D672FF"/>
    <w:rsid w:val="372F2CFA"/>
    <w:rsid w:val="376D0A2D"/>
    <w:rsid w:val="37765B9B"/>
    <w:rsid w:val="37791FCD"/>
    <w:rsid w:val="378109EF"/>
    <w:rsid w:val="37820F89"/>
    <w:rsid w:val="37885C25"/>
    <w:rsid w:val="37E96321"/>
    <w:rsid w:val="385F10A7"/>
    <w:rsid w:val="39091BC7"/>
    <w:rsid w:val="398479E6"/>
    <w:rsid w:val="39A52082"/>
    <w:rsid w:val="39BE0DD5"/>
    <w:rsid w:val="39C726B6"/>
    <w:rsid w:val="39D77CB2"/>
    <w:rsid w:val="3A3D5337"/>
    <w:rsid w:val="3A3D5E55"/>
    <w:rsid w:val="3A552DF9"/>
    <w:rsid w:val="3A860EF3"/>
    <w:rsid w:val="3ACC57AF"/>
    <w:rsid w:val="3B2B4F9A"/>
    <w:rsid w:val="3B3B2682"/>
    <w:rsid w:val="3C4D3C46"/>
    <w:rsid w:val="3C5555ED"/>
    <w:rsid w:val="3CB515E2"/>
    <w:rsid w:val="3CE94C63"/>
    <w:rsid w:val="3CE97628"/>
    <w:rsid w:val="3CEC71EF"/>
    <w:rsid w:val="3CF9144D"/>
    <w:rsid w:val="3CFB2ED0"/>
    <w:rsid w:val="3D286C3A"/>
    <w:rsid w:val="3D6F47CE"/>
    <w:rsid w:val="3D981B2C"/>
    <w:rsid w:val="3E19707C"/>
    <w:rsid w:val="3E310CD3"/>
    <w:rsid w:val="3EA910EE"/>
    <w:rsid w:val="3F630127"/>
    <w:rsid w:val="3F771CBB"/>
    <w:rsid w:val="3FC409A7"/>
    <w:rsid w:val="3FF71A92"/>
    <w:rsid w:val="40111FC7"/>
    <w:rsid w:val="402F3263"/>
    <w:rsid w:val="40314300"/>
    <w:rsid w:val="40480F1F"/>
    <w:rsid w:val="407E0D08"/>
    <w:rsid w:val="408E25E2"/>
    <w:rsid w:val="40C5077F"/>
    <w:rsid w:val="40D87292"/>
    <w:rsid w:val="41024391"/>
    <w:rsid w:val="41291B6D"/>
    <w:rsid w:val="41385AD4"/>
    <w:rsid w:val="41560D3A"/>
    <w:rsid w:val="418008CB"/>
    <w:rsid w:val="41B91D91"/>
    <w:rsid w:val="41D44C03"/>
    <w:rsid w:val="42176386"/>
    <w:rsid w:val="428927E4"/>
    <w:rsid w:val="429005B0"/>
    <w:rsid w:val="42A453C9"/>
    <w:rsid w:val="42B65303"/>
    <w:rsid w:val="43096751"/>
    <w:rsid w:val="431047F8"/>
    <w:rsid w:val="4319442A"/>
    <w:rsid w:val="431C2140"/>
    <w:rsid w:val="432637F3"/>
    <w:rsid w:val="43693664"/>
    <w:rsid w:val="44477242"/>
    <w:rsid w:val="447949C5"/>
    <w:rsid w:val="44CA728F"/>
    <w:rsid w:val="45D00632"/>
    <w:rsid w:val="462135C7"/>
    <w:rsid w:val="462C09E7"/>
    <w:rsid w:val="470B2BF0"/>
    <w:rsid w:val="47415B42"/>
    <w:rsid w:val="47673594"/>
    <w:rsid w:val="48086600"/>
    <w:rsid w:val="48503C0A"/>
    <w:rsid w:val="485B577A"/>
    <w:rsid w:val="48977D2D"/>
    <w:rsid w:val="48A96850"/>
    <w:rsid w:val="48B05ECC"/>
    <w:rsid w:val="48B51D0E"/>
    <w:rsid w:val="49134D2F"/>
    <w:rsid w:val="498F7B47"/>
    <w:rsid w:val="499A008C"/>
    <w:rsid w:val="49CF65EE"/>
    <w:rsid w:val="4AA60572"/>
    <w:rsid w:val="4B0A4D8F"/>
    <w:rsid w:val="4B2E0698"/>
    <w:rsid w:val="4B6D5157"/>
    <w:rsid w:val="4B6F5DDF"/>
    <w:rsid w:val="4B911E5E"/>
    <w:rsid w:val="4BA82141"/>
    <w:rsid w:val="4BDD4D9A"/>
    <w:rsid w:val="4C0F2EE9"/>
    <w:rsid w:val="4C1115D4"/>
    <w:rsid w:val="4C6722ED"/>
    <w:rsid w:val="4C8E00F3"/>
    <w:rsid w:val="4CBD78B0"/>
    <w:rsid w:val="4CC0649C"/>
    <w:rsid w:val="4CC37EA0"/>
    <w:rsid w:val="4D3D4689"/>
    <w:rsid w:val="4D4626E1"/>
    <w:rsid w:val="4D5D3D4A"/>
    <w:rsid w:val="4D6349E9"/>
    <w:rsid w:val="4D810DBE"/>
    <w:rsid w:val="4DF120D2"/>
    <w:rsid w:val="4E3D56BC"/>
    <w:rsid w:val="4E6D5F02"/>
    <w:rsid w:val="4F015DEA"/>
    <w:rsid w:val="4F467B72"/>
    <w:rsid w:val="4F7435ED"/>
    <w:rsid w:val="4F914F9C"/>
    <w:rsid w:val="4FBD308E"/>
    <w:rsid w:val="4FCA4786"/>
    <w:rsid w:val="4FF11CE4"/>
    <w:rsid w:val="50251BF8"/>
    <w:rsid w:val="502C4A42"/>
    <w:rsid w:val="504C7739"/>
    <w:rsid w:val="50C17523"/>
    <w:rsid w:val="50F021FD"/>
    <w:rsid w:val="50FB3B81"/>
    <w:rsid w:val="51274BF6"/>
    <w:rsid w:val="51A32CF3"/>
    <w:rsid w:val="51B45A49"/>
    <w:rsid w:val="51EF63D9"/>
    <w:rsid w:val="52D111CE"/>
    <w:rsid w:val="52F631B9"/>
    <w:rsid w:val="537932AB"/>
    <w:rsid w:val="53B454A7"/>
    <w:rsid w:val="53CA0AC9"/>
    <w:rsid w:val="53D01BB3"/>
    <w:rsid w:val="54020964"/>
    <w:rsid w:val="542A1FAC"/>
    <w:rsid w:val="5482777A"/>
    <w:rsid w:val="54A17D57"/>
    <w:rsid w:val="54E970F8"/>
    <w:rsid w:val="550940CB"/>
    <w:rsid w:val="55A87E93"/>
    <w:rsid w:val="55C75671"/>
    <w:rsid w:val="55D63D47"/>
    <w:rsid w:val="55E62F35"/>
    <w:rsid w:val="56105DDB"/>
    <w:rsid w:val="56134AC9"/>
    <w:rsid w:val="56E93B36"/>
    <w:rsid w:val="574129A7"/>
    <w:rsid w:val="574C3084"/>
    <w:rsid w:val="57576301"/>
    <w:rsid w:val="576F0C69"/>
    <w:rsid w:val="57760D25"/>
    <w:rsid w:val="57826F4C"/>
    <w:rsid w:val="57E87CA5"/>
    <w:rsid w:val="58230B4C"/>
    <w:rsid w:val="58F46CB0"/>
    <w:rsid w:val="5945318C"/>
    <w:rsid w:val="594F2D2F"/>
    <w:rsid w:val="59627ED2"/>
    <w:rsid w:val="59A156EB"/>
    <w:rsid w:val="59B93671"/>
    <w:rsid w:val="5A5035F6"/>
    <w:rsid w:val="5A8245A0"/>
    <w:rsid w:val="5A852C69"/>
    <w:rsid w:val="5A8B350B"/>
    <w:rsid w:val="5B033DD0"/>
    <w:rsid w:val="5B5227E7"/>
    <w:rsid w:val="5B746016"/>
    <w:rsid w:val="5BB5755B"/>
    <w:rsid w:val="5BD12E6E"/>
    <w:rsid w:val="5C087506"/>
    <w:rsid w:val="5C7D083F"/>
    <w:rsid w:val="5CA0403C"/>
    <w:rsid w:val="5CE64BC9"/>
    <w:rsid w:val="5D1763F2"/>
    <w:rsid w:val="5D385BC6"/>
    <w:rsid w:val="5DE649F7"/>
    <w:rsid w:val="5E022677"/>
    <w:rsid w:val="5E987801"/>
    <w:rsid w:val="5F015725"/>
    <w:rsid w:val="5F26767B"/>
    <w:rsid w:val="5F666F44"/>
    <w:rsid w:val="5F9336AE"/>
    <w:rsid w:val="5FB10124"/>
    <w:rsid w:val="60057702"/>
    <w:rsid w:val="60172FF8"/>
    <w:rsid w:val="601C182B"/>
    <w:rsid w:val="60211F2A"/>
    <w:rsid w:val="60BB3669"/>
    <w:rsid w:val="61255E01"/>
    <w:rsid w:val="61DC7A61"/>
    <w:rsid w:val="62F101A5"/>
    <w:rsid w:val="62F56F6C"/>
    <w:rsid w:val="63410CF5"/>
    <w:rsid w:val="63937D53"/>
    <w:rsid w:val="639F00A6"/>
    <w:rsid w:val="63F832BB"/>
    <w:rsid w:val="640C3E97"/>
    <w:rsid w:val="641C2570"/>
    <w:rsid w:val="6449280E"/>
    <w:rsid w:val="645B1267"/>
    <w:rsid w:val="647B19DE"/>
    <w:rsid w:val="64874E71"/>
    <w:rsid w:val="64DD150E"/>
    <w:rsid w:val="651C2DAA"/>
    <w:rsid w:val="65E36D76"/>
    <w:rsid w:val="668566B2"/>
    <w:rsid w:val="66970D9E"/>
    <w:rsid w:val="66A21F41"/>
    <w:rsid w:val="67242A8C"/>
    <w:rsid w:val="67267C6A"/>
    <w:rsid w:val="682D4CD4"/>
    <w:rsid w:val="68380972"/>
    <w:rsid w:val="68A82C7B"/>
    <w:rsid w:val="68F26FE1"/>
    <w:rsid w:val="699D2674"/>
    <w:rsid w:val="69B44CEB"/>
    <w:rsid w:val="6A056A31"/>
    <w:rsid w:val="6A7445B9"/>
    <w:rsid w:val="6BB14F01"/>
    <w:rsid w:val="6BB57448"/>
    <w:rsid w:val="6BC158B7"/>
    <w:rsid w:val="6BF079E2"/>
    <w:rsid w:val="6C015EA0"/>
    <w:rsid w:val="6C1D2A20"/>
    <w:rsid w:val="6C554470"/>
    <w:rsid w:val="6C98646F"/>
    <w:rsid w:val="6D006521"/>
    <w:rsid w:val="6D0804C9"/>
    <w:rsid w:val="6D1E0F71"/>
    <w:rsid w:val="6D5B7974"/>
    <w:rsid w:val="6D950126"/>
    <w:rsid w:val="6ED5591F"/>
    <w:rsid w:val="6F043D1C"/>
    <w:rsid w:val="6F1E09C6"/>
    <w:rsid w:val="6F7147BD"/>
    <w:rsid w:val="6FD300D9"/>
    <w:rsid w:val="70256EF6"/>
    <w:rsid w:val="706B128C"/>
    <w:rsid w:val="70A1715B"/>
    <w:rsid w:val="70A83521"/>
    <w:rsid w:val="70B7702D"/>
    <w:rsid w:val="70F50661"/>
    <w:rsid w:val="71064CB1"/>
    <w:rsid w:val="715A78A1"/>
    <w:rsid w:val="715A78A9"/>
    <w:rsid w:val="71FD1425"/>
    <w:rsid w:val="720A5EC7"/>
    <w:rsid w:val="722948D0"/>
    <w:rsid w:val="725958AB"/>
    <w:rsid w:val="72596122"/>
    <w:rsid w:val="72D410A8"/>
    <w:rsid w:val="72DA60B1"/>
    <w:rsid w:val="730C5ED1"/>
    <w:rsid w:val="732B2BA2"/>
    <w:rsid w:val="733A703B"/>
    <w:rsid w:val="73457806"/>
    <w:rsid w:val="735F1392"/>
    <w:rsid w:val="73722864"/>
    <w:rsid w:val="73921520"/>
    <w:rsid w:val="73DD64F6"/>
    <w:rsid w:val="744F08B3"/>
    <w:rsid w:val="74710267"/>
    <w:rsid w:val="74A11CF1"/>
    <w:rsid w:val="74C72B7C"/>
    <w:rsid w:val="755F0F99"/>
    <w:rsid w:val="75A6142E"/>
    <w:rsid w:val="75BB139E"/>
    <w:rsid w:val="76146E75"/>
    <w:rsid w:val="76695589"/>
    <w:rsid w:val="76A450A9"/>
    <w:rsid w:val="76F04A08"/>
    <w:rsid w:val="774C0587"/>
    <w:rsid w:val="77DD191D"/>
    <w:rsid w:val="77E20F20"/>
    <w:rsid w:val="780C53BF"/>
    <w:rsid w:val="78370A43"/>
    <w:rsid w:val="784908F5"/>
    <w:rsid w:val="78892CA7"/>
    <w:rsid w:val="789823B8"/>
    <w:rsid w:val="78C5063F"/>
    <w:rsid w:val="78F77815"/>
    <w:rsid w:val="79085209"/>
    <w:rsid w:val="795855E1"/>
    <w:rsid w:val="79C20520"/>
    <w:rsid w:val="7A3B4574"/>
    <w:rsid w:val="7A4935BE"/>
    <w:rsid w:val="7A547998"/>
    <w:rsid w:val="7A8F6270"/>
    <w:rsid w:val="7ABA1109"/>
    <w:rsid w:val="7ADA3342"/>
    <w:rsid w:val="7AF657DF"/>
    <w:rsid w:val="7B185183"/>
    <w:rsid w:val="7B5D0712"/>
    <w:rsid w:val="7BA36AD7"/>
    <w:rsid w:val="7C0E157D"/>
    <w:rsid w:val="7C180996"/>
    <w:rsid w:val="7C3B5B52"/>
    <w:rsid w:val="7C611DDE"/>
    <w:rsid w:val="7C847D7F"/>
    <w:rsid w:val="7C9E535E"/>
    <w:rsid w:val="7CCC2EFB"/>
    <w:rsid w:val="7CDD15C1"/>
    <w:rsid w:val="7CEA1AE7"/>
    <w:rsid w:val="7D3F4F15"/>
    <w:rsid w:val="7DD751D5"/>
    <w:rsid w:val="7E786053"/>
    <w:rsid w:val="7E943DE2"/>
    <w:rsid w:val="7F195DCC"/>
    <w:rsid w:val="7F1A0C80"/>
    <w:rsid w:val="7F367B50"/>
    <w:rsid w:val="7F872018"/>
    <w:rsid w:val="7FA3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99"/>
    <w:rPr>
      <w:b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Header Char"/>
    <w:basedOn w:val="1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0"/>
    <w:semiHidden/>
    <w:qFormat/>
    <w:locked/>
    <w:uiPriority w:val="99"/>
    <w:rPr>
      <w:sz w:val="18"/>
    </w:rPr>
  </w:style>
  <w:style w:type="character" w:customStyle="1" w:styleId="20">
    <w:name w:val="Footer Char"/>
    <w:basedOn w:val="1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9"/>
    <w:qFormat/>
    <w:locked/>
    <w:uiPriority w:val="99"/>
    <w:rPr>
      <w:sz w:val="18"/>
    </w:rPr>
  </w:style>
  <w:style w:type="character" w:customStyle="1" w:styleId="22">
    <w:name w:val="Body Text Char"/>
    <w:basedOn w:val="15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6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1 Char"/>
    <w:basedOn w:val="15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批注框文本 Char"/>
    <w:basedOn w:val="15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标题 3 Char"/>
    <w:basedOn w:val="15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116E-D814-40FC-9BE9-37D8BB53B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21</Pages>
  <Words>1414</Words>
  <Characters>8063</Characters>
  <Lines>67</Lines>
  <Paragraphs>18</Paragraphs>
  <TotalTime>12</TotalTime>
  <ScaleCrop>false</ScaleCrop>
  <LinksUpToDate>false</LinksUpToDate>
  <CharactersWithSpaces>9459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明风之风</cp:lastModifiedBy>
  <cp:lastPrinted>2019-08-01T00:48:00Z</cp:lastPrinted>
  <dcterms:modified xsi:type="dcterms:W3CDTF">2022-03-16T08:18:43Z</dcterms:modified>
  <dc:title>四川省***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7147F2D3D2DF47D88EABF9ECDDB0B88A</vt:lpwstr>
  </property>
</Properties>
</file>