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1300" w:lineRule="exact"/>
        <w:jc w:val="center"/>
        <w:textAlignment w:val="auto"/>
        <w:outlineLvl w:val="0"/>
        <w:rPr>
          <w:rFonts w:hint="default" w:ascii="Times New Roman" w:hAnsi="Times New Roman" w:eastAsia="黑体" w:cs="Times New Roman"/>
          <w:color w:val="000000"/>
          <w:sz w:val="72"/>
          <w:szCs w:val="72"/>
        </w:rPr>
      </w:pPr>
      <w:bookmarkStart w:id="0" w:name="_Toc15396597"/>
      <w:bookmarkStart w:id="1" w:name="_Toc15378441"/>
      <w:bookmarkStart w:id="2" w:name="_Toc15377193"/>
      <w:bookmarkStart w:id="3" w:name="_Toc15396475"/>
      <w:bookmarkStart w:id="4" w:name="_Toc15377425"/>
    </w:p>
    <w:p>
      <w:pPr>
        <w:keepNext w:val="0"/>
        <w:keepLines w:val="0"/>
        <w:pageBreakBefore w:val="0"/>
        <w:kinsoku/>
        <w:wordWrap/>
        <w:overflowPunct/>
        <w:topLinePunct w:val="0"/>
        <w:autoSpaceDE/>
        <w:autoSpaceDN/>
        <w:bidi w:val="0"/>
        <w:adjustRightInd w:val="0"/>
        <w:snapToGrid w:val="0"/>
        <w:spacing w:line="1300" w:lineRule="exact"/>
        <w:jc w:val="both"/>
        <w:textAlignment w:val="auto"/>
        <w:outlineLvl w:val="0"/>
        <w:rPr>
          <w:rFonts w:hint="default" w:ascii="Times New Roman" w:hAnsi="Times New Roman" w:eastAsia="黑体" w:cs="Times New Roman"/>
          <w:color w:val="000000"/>
          <w:sz w:val="72"/>
          <w:szCs w:val="72"/>
        </w:rPr>
      </w:pPr>
    </w:p>
    <w:p>
      <w:pPr>
        <w:keepNext w:val="0"/>
        <w:keepLines w:val="0"/>
        <w:pageBreakBefore w:val="0"/>
        <w:kinsoku/>
        <w:wordWrap/>
        <w:overflowPunct/>
        <w:topLinePunct w:val="0"/>
        <w:autoSpaceDE/>
        <w:autoSpaceDN/>
        <w:bidi w:val="0"/>
        <w:adjustRightInd w:val="0"/>
        <w:snapToGrid w:val="0"/>
        <w:spacing w:line="1300" w:lineRule="exact"/>
        <w:jc w:val="center"/>
        <w:textAlignment w:val="auto"/>
        <w:outlineLvl w:val="0"/>
        <w:rPr>
          <w:rFonts w:hint="default" w:ascii="Times New Roman" w:hAnsi="Times New Roman" w:eastAsia="宋体" w:cs="Times New Roman"/>
          <w:color w:val="auto"/>
          <w:sz w:val="72"/>
          <w:szCs w:val="72"/>
          <w:highlight w:val="red"/>
          <w:lang w:val="en-US" w:eastAsia="zh-CN"/>
        </w:rPr>
      </w:pPr>
      <w:r>
        <w:rPr>
          <w:rFonts w:hint="default" w:ascii="Times New Roman" w:hAnsi="Times New Roman" w:eastAsia="黑体" w:cs="Times New Roman"/>
          <w:color w:val="000000"/>
          <w:sz w:val="72"/>
          <w:szCs w:val="72"/>
        </w:rPr>
        <w:t>201</w:t>
      </w:r>
      <w:r>
        <w:rPr>
          <w:rFonts w:hint="eastAsia" w:eastAsia="黑体" w:cs="Times New Roman"/>
          <w:color w:val="000000"/>
          <w:sz w:val="72"/>
          <w:szCs w:val="72"/>
          <w:lang w:val="en-US" w:eastAsia="zh-CN"/>
        </w:rPr>
        <w:t>9</w:t>
      </w:r>
      <w:r>
        <w:rPr>
          <w:rFonts w:hint="default" w:ascii="Times New Roman" w:hAnsi="Times New Roman" w:eastAsia="方正小标宋简体" w:cs="Times New Roman"/>
          <w:color w:val="000000"/>
          <w:sz w:val="72"/>
          <w:szCs w:val="72"/>
        </w:rPr>
        <w:t>年度</w:t>
      </w:r>
      <w:bookmarkEnd w:id="0"/>
      <w:bookmarkEnd w:id="1"/>
      <w:bookmarkEnd w:id="2"/>
      <w:bookmarkEnd w:id="3"/>
      <w:bookmarkEnd w:id="4"/>
      <w:bookmarkStart w:id="5" w:name="_Toc15377426"/>
      <w:bookmarkStart w:id="6" w:name="_Toc15396598"/>
      <w:bookmarkStart w:id="7" w:name="_Toc15377194"/>
      <w:bookmarkStart w:id="8" w:name="_Toc15378442"/>
      <w:bookmarkStart w:id="9" w:name="_Toc15396476"/>
      <w:r>
        <w:rPr>
          <w:rFonts w:hint="default" w:ascii="Times New Roman" w:hAnsi="Times New Roman" w:eastAsia="方正小标宋简体" w:cs="Times New Roman"/>
          <w:color w:val="000000"/>
          <w:sz w:val="72"/>
          <w:szCs w:val="72"/>
        </w:rPr>
        <w:t>平昌</w:t>
      </w:r>
      <w:r>
        <w:rPr>
          <w:rFonts w:hint="default" w:ascii="Times New Roman" w:hAnsi="Times New Roman" w:eastAsia="方正小标宋简体" w:cs="Times New Roman"/>
          <w:color w:val="auto"/>
          <w:sz w:val="72"/>
          <w:szCs w:val="72"/>
        </w:rPr>
        <w:t>县</w:t>
      </w:r>
      <w:bookmarkStart w:id="10" w:name="_Toc15306268"/>
      <w:r>
        <w:rPr>
          <w:rFonts w:hint="eastAsia" w:eastAsia="方正小标宋简体" w:cs="Times New Roman"/>
          <w:color w:val="auto"/>
          <w:sz w:val="72"/>
          <w:szCs w:val="72"/>
          <w:lang w:eastAsia="zh-CN"/>
        </w:rPr>
        <w:t>林业</w:t>
      </w:r>
      <w:r>
        <w:rPr>
          <w:rFonts w:hint="eastAsia" w:ascii="Times New Roman" w:hAnsi="Times New Roman" w:eastAsia="方正小标宋简体" w:cs="Times New Roman"/>
          <w:color w:val="000000"/>
          <w:sz w:val="72"/>
          <w:szCs w:val="72"/>
          <w:lang w:val="en-US" w:eastAsia="zh-CN"/>
        </w:rPr>
        <w:t>局</w:t>
      </w:r>
    </w:p>
    <w:p>
      <w:pPr>
        <w:keepNext w:val="0"/>
        <w:keepLines w:val="0"/>
        <w:pageBreakBefore w:val="0"/>
        <w:kinsoku/>
        <w:wordWrap/>
        <w:overflowPunct/>
        <w:topLinePunct w:val="0"/>
        <w:autoSpaceDE/>
        <w:autoSpaceDN/>
        <w:bidi w:val="0"/>
        <w:adjustRightInd w:val="0"/>
        <w:snapToGrid w:val="0"/>
        <w:spacing w:line="1300" w:lineRule="exact"/>
        <w:jc w:val="center"/>
        <w:textAlignment w:val="auto"/>
        <w:outlineLvl w:val="0"/>
        <w:rPr>
          <w:rFonts w:hint="eastAsia" w:eastAsia="方正小标宋简体" w:cs="Times New Roman"/>
          <w:color w:val="000000"/>
          <w:sz w:val="72"/>
          <w:szCs w:val="72"/>
          <w:lang w:eastAsia="zh-CN"/>
        </w:rPr>
      </w:pPr>
      <w:r>
        <w:rPr>
          <w:rFonts w:hint="default" w:ascii="Times New Roman" w:hAnsi="Times New Roman" w:eastAsia="方正小标宋简体" w:cs="Times New Roman"/>
          <w:color w:val="auto"/>
          <w:sz w:val="72"/>
          <w:szCs w:val="72"/>
        </w:rPr>
        <w:t>部门</w:t>
      </w:r>
      <w:r>
        <w:rPr>
          <w:rFonts w:hint="default" w:ascii="Times New Roman" w:hAnsi="Times New Roman" w:eastAsia="方正小标宋简体" w:cs="Times New Roman"/>
          <w:color w:val="000000"/>
          <w:sz w:val="72"/>
          <w:szCs w:val="72"/>
        </w:rPr>
        <w:t>决算</w:t>
      </w:r>
      <w:bookmarkEnd w:id="5"/>
      <w:bookmarkEnd w:id="6"/>
      <w:bookmarkEnd w:id="7"/>
      <w:bookmarkEnd w:id="8"/>
      <w:bookmarkEnd w:id="9"/>
      <w:bookmarkEnd w:id="10"/>
      <w:r>
        <w:rPr>
          <w:rFonts w:hint="eastAsia" w:eastAsia="方正小标宋简体" w:cs="Times New Roman"/>
          <w:color w:val="000000"/>
          <w:sz w:val="72"/>
          <w:szCs w:val="72"/>
          <w:lang w:eastAsia="zh-CN"/>
        </w:rPr>
        <w:t>公开编制说明</w:t>
      </w:r>
    </w:p>
    <w:p>
      <w:pPr>
        <w:keepNext w:val="0"/>
        <w:keepLines w:val="0"/>
        <w:pageBreakBefore w:val="0"/>
        <w:kinsoku/>
        <w:wordWrap/>
        <w:overflowPunct/>
        <w:topLinePunct w:val="0"/>
        <w:autoSpaceDE/>
        <w:autoSpaceDN/>
        <w:bidi w:val="0"/>
        <w:adjustRightInd w:val="0"/>
        <w:snapToGrid w:val="0"/>
        <w:spacing w:line="1300" w:lineRule="exact"/>
        <w:jc w:val="center"/>
        <w:textAlignment w:val="auto"/>
        <w:outlineLvl w:val="0"/>
        <w:rPr>
          <w:rFonts w:hint="eastAsia" w:eastAsia="方正小标宋简体" w:cs="Times New Roman"/>
          <w:color w:val="auto"/>
          <w:sz w:val="72"/>
          <w:szCs w:val="72"/>
          <w:highlight w:val="red"/>
          <w:lang w:eastAsia="zh-CN"/>
        </w:rPr>
      </w:pPr>
      <w:r>
        <w:rPr>
          <w:rFonts w:hint="eastAsia" w:eastAsia="方正小标宋简体" w:cs="Times New Roman"/>
          <w:color w:val="auto"/>
          <w:sz w:val="72"/>
          <w:szCs w:val="72"/>
          <w:highlight w:val="none"/>
          <w:lang w:eastAsia="zh-CN"/>
        </w:rPr>
        <w:t>（汇总）</w:t>
      </w:r>
    </w:p>
    <w:p>
      <w:pPr>
        <w:keepNext w:val="0"/>
        <w:keepLines w:val="0"/>
        <w:pageBreakBefore w:val="0"/>
        <w:widowControl/>
        <w:kinsoku/>
        <w:wordWrap/>
        <w:overflowPunct/>
        <w:topLinePunct w:val="0"/>
        <w:autoSpaceDE/>
        <w:autoSpaceDN/>
        <w:bidi w:val="0"/>
        <w:spacing w:line="1300" w:lineRule="exact"/>
        <w:jc w:val="center"/>
        <w:textAlignment w:val="auto"/>
        <w:rPr>
          <w:rFonts w:hint="default" w:ascii="Times New Roman" w:hAnsi="Times New Roman" w:eastAsia="黑体" w:cs="Times New Roman"/>
          <w:color w:val="000000"/>
          <w:sz w:val="48"/>
          <w:szCs w:val="48"/>
        </w:rPr>
      </w:pPr>
    </w:p>
    <w:p>
      <w:pPr>
        <w:keepNext w:val="0"/>
        <w:keepLines w:val="0"/>
        <w:pageBreakBefore w:val="0"/>
        <w:widowControl/>
        <w:kinsoku/>
        <w:wordWrap/>
        <w:overflowPunct/>
        <w:topLinePunct w:val="0"/>
        <w:autoSpaceDE/>
        <w:autoSpaceDN/>
        <w:bidi w:val="0"/>
        <w:spacing w:line="1300" w:lineRule="exact"/>
        <w:jc w:val="center"/>
        <w:textAlignment w:val="auto"/>
        <w:rPr>
          <w:rFonts w:hint="default" w:ascii="Times New Roman" w:hAnsi="Times New Roman" w:eastAsia="黑体" w:cs="Times New Roman"/>
          <w:color w:val="000000"/>
          <w:sz w:val="48"/>
          <w:szCs w:val="48"/>
        </w:rPr>
      </w:pPr>
    </w:p>
    <w:p>
      <w:pPr>
        <w:keepNext w:val="0"/>
        <w:keepLines w:val="0"/>
        <w:pageBreakBefore w:val="0"/>
        <w:widowControl/>
        <w:kinsoku/>
        <w:wordWrap/>
        <w:overflowPunct/>
        <w:topLinePunct w:val="0"/>
        <w:autoSpaceDE/>
        <w:autoSpaceDN/>
        <w:bidi w:val="0"/>
        <w:spacing w:line="1300" w:lineRule="exact"/>
        <w:jc w:val="center"/>
        <w:textAlignment w:val="auto"/>
        <w:rPr>
          <w:rFonts w:hint="default" w:ascii="Times New Roman" w:hAnsi="Times New Roman" w:eastAsia="黑体" w:cs="Times New Roman"/>
          <w:color w:val="000000"/>
          <w:sz w:val="48"/>
          <w:szCs w:val="48"/>
        </w:rPr>
      </w:pPr>
    </w:p>
    <w:p>
      <w:pPr>
        <w:keepNext w:val="0"/>
        <w:keepLines w:val="0"/>
        <w:pageBreakBefore w:val="0"/>
        <w:widowControl/>
        <w:kinsoku/>
        <w:wordWrap/>
        <w:overflowPunct/>
        <w:topLinePunct w:val="0"/>
        <w:autoSpaceDE/>
        <w:autoSpaceDN/>
        <w:bidi w:val="0"/>
        <w:spacing w:line="1300" w:lineRule="exact"/>
        <w:jc w:val="both"/>
        <w:textAlignment w:val="auto"/>
        <w:rPr>
          <w:rFonts w:hint="default" w:ascii="Times New Roman" w:hAnsi="Times New Roman" w:eastAsia="黑体" w:cs="Times New Roman"/>
          <w:color w:val="000000"/>
          <w:sz w:val="48"/>
          <w:szCs w:val="48"/>
        </w:rPr>
      </w:pPr>
    </w:p>
    <w:p>
      <w:pPr>
        <w:keepNext w:val="0"/>
        <w:keepLines w:val="0"/>
        <w:pageBreakBefore w:val="0"/>
        <w:widowControl/>
        <w:kinsoku/>
        <w:wordWrap/>
        <w:overflowPunct/>
        <w:topLinePunct w:val="0"/>
        <w:autoSpaceDE/>
        <w:autoSpaceDN/>
        <w:bidi w:val="0"/>
        <w:spacing w:line="1300" w:lineRule="exact"/>
        <w:jc w:val="center"/>
        <w:textAlignment w:val="auto"/>
        <w:rPr>
          <w:rFonts w:hint="default" w:ascii="Times New Roman" w:hAnsi="Times New Roman" w:eastAsia="黑体" w:cs="Times New Roman"/>
          <w:color w:val="000000"/>
          <w:sz w:val="48"/>
          <w:szCs w:val="48"/>
        </w:rPr>
      </w:pPr>
    </w:p>
    <w:p>
      <w:pPr>
        <w:keepNext w:val="0"/>
        <w:keepLines w:val="0"/>
        <w:pageBreakBefore w:val="0"/>
        <w:widowControl/>
        <w:kinsoku/>
        <w:wordWrap/>
        <w:overflowPunct/>
        <w:topLinePunct w:val="0"/>
        <w:autoSpaceDE/>
        <w:autoSpaceDN/>
        <w:bidi w:val="0"/>
        <w:spacing w:line="1300" w:lineRule="exact"/>
        <w:jc w:val="center"/>
        <w:textAlignment w:val="auto"/>
        <w:rPr>
          <w:rFonts w:hint="default" w:ascii="Times New Roman" w:hAnsi="Times New Roman" w:eastAsia="黑体" w:cs="Times New Roman"/>
          <w:color w:val="000000"/>
          <w:sz w:val="48"/>
          <w:szCs w:val="48"/>
        </w:rPr>
      </w:pPr>
      <w:r>
        <w:rPr>
          <w:rFonts w:hint="default" w:ascii="Times New Roman" w:hAnsi="Times New Roman" w:eastAsia="黑体" w:cs="Times New Roman"/>
          <w:color w:val="000000"/>
          <w:sz w:val="48"/>
          <w:szCs w:val="48"/>
        </w:rPr>
        <w:t>目</w:t>
      </w:r>
      <w:r>
        <w:rPr>
          <w:rFonts w:hint="eastAsia" w:eastAsia="黑体" w:cs="Times New Roman"/>
          <w:color w:val="000000"/>
          <w:sz w:val="48"/>
          <w:szCs w:val="48"/>
          <w:lang w:val="en-US" w:eastAsia="zh-CN"/>
        </w:rPr>
        <w:t xml:space="preserve">  </w:t>
      </w:r>
      <w:r>
        <w:rPr>
          <w:rFonts w:hint="default" w:ascii="Times New Roman" w:hAnsi="Times New Roman" w:eastAsia="黑体" w:cs="Times New Roman"/>
          <w:color w:val="000000"/>
          <w:sz w:val="48"/>
          <w:szCs w:val="48"/>
        </w:rPr>
        <w:t>录</w:t>
      </w:r>
    </w:p>
    <w:p>
      <w:pPr>
        <w:pageBreakBefore w:val="0"/>
        <w:widowControl/>
        <w:kinsoku/>
        <w:wordWrap/>
        <w:overflowPunct/>
        <w:topLinePunct w:val="0"/>
        <w:bidi w:val="0"/>
        <w:spacing w:line="560" w:lineRule="exact"/>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color w:val="000000"/>
          <w:sz w:val="48"/>
          <w:szCs w:val="48"/>
          <w:highlight w:val="none"/>
        </w:rPr>
        <w:fldChar w:fldCharType="begin"/>
      </w:r>
      <w:r>
        <w:rPr>
          <w:rFonts w:hint="default" w:ascii="Times New Roman" w:hAnsi="Times New Roman" w:eastAsia="黑体" w:cs="Times New Roman"/>
          <w:color w:val="000000"/>
          <w:sz w:val="48"/>
          <w:szCs w:val="48"/>
          <w:highlight w:val="none"/>
        </w:rPr>
        <w:instrText xml:space="preserve"> TOC \o "1-2" \h \z \u </w:instrText>
      </w:r>
      <w:r>
        <w:rPr>
          <w:rFonts w:hint="default" w:ascii="Times New Roman" w:hAnsi="Times New Roman" w:eastAsia="黑体" w:cs="Times New Roman"/>
          <w:color w:val="000000"/>
          <w:sz w:val="48"/>
          <w:szCs w:val="48"/>
          <w:highlight w:val="none"/>
        </w:rPr>
        <w:fldChar w:fldCharType="separate"/>
      </w:r>
    </w:p>
    <w:p>
      <w:pPr>
        <w:pStyle w:val="8"/>
        <w:pageBreakBefore w:val="0"/>
        <w:kinsoku/>
        <w:wordWrap/>
        <w:overflowPunct/>
        <w:topLinePunct w:val="0"/>
        <w:bidi w:val="0"/>
        <w:spacing w:before="0" w:line="560" w:lineRule="exact"/>
        <w:rPr>
          <w:rFonts w:hint="default" w:ascii="Times New Roman" w:hAnsi="Times New Roman" w:cs="Times New Roman"/>
          <w:highlight w:val="none"/>
        </w:rPr>
      </w:pPr>
      <w:r>
        <w:rPr>
          <w:rFonts w:hint="default" w:ascii="Times New Roman" w:hAnsi="Times New Roman" w:cs="Times New Roman"/>
          <w:highlight w:val="none"/>
        </w:rPr>
        <w:t>公开时间：2</w:t>
      </w:r>
      <w:r>
        <w:rPr>
          <w:rFonts w:hint="eastAsia" w:ascii="Times New Roman" w:hAnsi="Times New Roman" w:cs="Times New Roman"/>
          <w:highlight w:val="none"/>
          <w:lang w:val="en-US" w:eastAsia="zh-CN"/>
        </w:rPr>
        <w:t>020</w:t>
      </w:r>
      <w:r>
        <w:rPr>
          <w:rFonts w:hint="default" w:ascii="Times New Roman" w:hAnsi="Times New Roman" w:cs="Times New Roman"/>
          <w:highlight w:val="none"/>
        </w:rPr>
        <w:t>年</w:t>
      </w:r>
      <w:r>
        <w:rPr>
          <w:rFonts w:hint="eastAsia" w:ascii="Times New Roman" w:hAnsi="Times New Roman" w:cs="Times New Roman"/>
          <w:highlight w:val="none"/>
          <w:lang w:val="en-US" w:eastAsia="zh-CN"/>
        </w:rPr>
        <w:t>10</w:t>
      </w:r>
      <w:r>
        <w:rPr>
          <w:rFonts w:hint="default" w:ascii="Times New Roman" w:hAnsi="Times New Roman" w:cs="Times New Roman"/>
          <w:highlight w:val="none"/>
        </w:rPr>
        <w:t>月</w:t>
      </w:r>
      <w:r>
        <w:rPr>
          <w:rFonts w:hint="eastAsia" w:ascii="Times New Roman" w:hAnsi="Times New Roman" w:cs="Times New Roman"/>
          <w:highlight w:val="none"/>
          <w:lang w:val="en-US" w:eastAsia="zh-CN"/>
        </w:rPr>
        <w:t>18</w:t>
      </w:r>
      <w:r>
        <w:rPr>
          <w:rFonts w:hint="default" w:ascii="Times New Roman" w:hAnsi="Times New Roman" w:cs="Times New Roman"/>
          <w:highlight w:val="none"/>
        </w:rPr>
        <w:t>日</w:t>
      </w:r>
    </w:p>
    <w:p>
      <w:pPr>
        <w:pageBreakBefore w:val="0"/>
        <w:kinsoku/>
        <w:wordWrap/>
        <w:overflowPunct/>
        <w:topLinePunct w:val="0"/>
        <w:bidi w:val="0"/>
        <w:spacing w:line="560" w:lineRule="exact"/>
        <w:rPr>
          <w:rFonts w:hint="default" w:ascii="Times New Roman" w:hAnsi="Times New Roman" w:cs="Times New Roman"/>
          <w:highlight w:val="none"/>
        </w:rPr>
      </w:pPr>
    </w:p>
    <w:p>
      <w:pPr>
        <w:pStyle w:val="8"/>
        <w:pageBreakBefore w:val="0"/>
        <w:kinsoku/>
        <w:wordWrap/>
        <w:overflowPunct/>
        <w:topLinePunct w:val="0"/>
        <w:bidi w:val="0"/>
        <w:spacing w:before="0" w:line="560" w:lineRule="exact"/>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"_Toc15396599" </w:instrText>
      </w:r>
      <w:r>
        <w:rPr>
          <w:rFonts w:hint="default" w:ascii="Times New Roman" w:hAnsi="Times New Roman" w:cs="Times New Roman"/>
          <w:highlight w:val="none"/>
        </w:rPr>
        <w:fldChar w:fldCharType="separate"/>
      </w:r>
      <w:r>
        <w:rPr>
          <w:rStyle w:val="14"/>
          <w:rFonts w:hint="default" w:ascii="Times New Roman" w:hAnsi="Times New Roman" w:cs="Times New Roman"/>
          <w:highlight w:val="none"/>
        </w:rPr>
        <w:t>第一部分 部门概况</w:t>
      </w:r>
      <w:r>
        <w:rPr>
          <w:rFonts w:hint="default" w:ascii="Times New Roman" w:hAnsi="Times New Roman" w:cs="Times New Roman"/>
          <w:highlight w:val="none"/>
        </w:rPr>
        <w:tab/>
      </w:r>
      <w:r>
        <w:rPr>
          <w:rFonts w:hint="default" w:ascii="Times New Roman" w:hAnsi="Times New Roman" w:cs="Times New Roman"/>
          <w:highlight w:val="none"/>
        </w:rPr>
        <w:t>4</w:t>
      </w:r>
      <w:r>
        <w:rPr>
          <w:rFonts w:hint="default" w:ascii="Times New Roman" w:hAnsi="Times New Roman" w:cs="Times New Roman"/>
          <w:highlight w:val="none"/>
        </w:rPr>
        <w:fldChar w:fldCharType="end"/>
      </w:r>
    </w:p>
    <w:p>
      <w:pPr>
        <w:pStyle w:val="9"/>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"_Toc15396600"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sz w:val="28"/>
          <w:szCs w:val="28"/>
          <w:highlight w:val="none"/>
        </w:rPr>
        <w:t>一、基本职能及主要工作</w:t>
      </w:r>
      <w:r>
        <w:rPr>
          <w:rStyle w:val="14"/>
          <w:rFonts w:hint="eastAsia" w:eastAsia="仿宋" w:cs="Times New Roman"/>
          <w:sz w:val="28"/>
          <w:szCs w:val="28"/>
          <w:highlight w:val="none"/>
          <w:lang w:val="en-US" w:eastAsia="zh-CN"/>
        </w:rPr>
        <w:t>...................................................................</w:t>
      </w:r>
      <w:r>
        <w:rPr>
          <w:rFonts w:hint="default" w:ascii="Times New Roman" w:hAnsi="Times New Roman" w:eastAsia="仿宋" w:cs="Times New Roman"/>
          <w:sz w:val="28"/>
          <w:szCs w:val="28"/>
          <w:highlight w:val="none"/>
        </w:rPr>
        <w:t>4</w:t>
      </w:r>
      <w:r>
        <w:rPr>
          <w:rFonts w:hint="default" w:ascii="Times New Roman" w:hAnsi="Times New Roman" w:eastAsia="仿宋" w:cs="Times New Roman"/>
          <w:sz w:val="28"/>
          <w:szCs w:val="28"/>
          <w:highlight w:val="none"/>
        </w:rPr>
        <w:fldChar w:fldCharType="end"/>
      </w:r>
    </w:p>
    <w:p>
      <w:pPr>
        <w:pStyle w:val="9"/>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"_Toc15396601"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sz w:val="28"/>
          <w:szCs w:val="28"/>
          <w:highlight w:val="none"/>
        </w:rPr>
        <w:t>二、机构设置</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4</w:t>
      </w:r>
      <w:r>
        <w:rPr>
          <w:rFonts w:hint="default" w:ascii="Times New Roman" w:hAnsi="Times New Roman" w:eastAsia="仿宋" w:cs="Times New Roman"/>
          <w:sz w:val="28"/>
          <w:szCs w:val="28"/>
          <w:highlight w:val="none"/>
        </w:rPr>
        <w:fldChar w:fldCharType="end"/>
      </w:r>
    </w:p>
    <w:p>
      <w:pPr>
        <w:pStyle w:val="8"/>
        <w:pageBreakBefore w:val="0"/>
        <w:kinsoku/>
        <w:wordWrap/>
        <w:overflowPunct/>
        <w:topLinePunct w:val="0"/>
        <w:bidi w:val="0"/>
        <w:spacing w:before="0" w:line="560" w:lineRule="exact"/>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"_Toc15396602" </w:instrText>
      </w:r>
      <w:r>
        <w:rPr>
          <w:rFonts w:hint="default" w:ascii="Times New Roman" w:hAnsi="Times New Roman" w:cs="Times New Roman"/>
          <w:highlight w:val="none"/>
        </w:rPr>
        <w:fldChar w:fldCharType="separate"/>
      </w:r>
      <w:r>
        <w:rPr>
          <w:rStyle w:val="14"/>
          <w:rFonts w:hint="default" w:ascii="Times New Roman" w:hAnsi="Times New Roman" w:cs="Times New Roman"/>
          <w:highlight w:val="none"/>
        </w:rPr>
        <w:t>第二部分 201</w:t>
      </w:r>
      <w:r>
        <w:rPr>
          <w:rStyle w:val="14"/>
          <w:rFonts w:hint="eastAsia" w:ascii="Times New Roman" w:hAnsi="Times New Roman" w:cs="Times New Roman"/>
          <w:highlight w:val="none"/>
          <w:lang w:val="en-US" w:eastAsia="zh-CN"/>
        </w:rPr>
        <w:t>9</w:t>
      </w:r>
      <w:r>
        <w:rPr>
          <w:rStyle w:val="14"/>
          <w:rFonts w:hint="default" w:ascii="Times New Roman" w:hAnsi="Times New Roman" w:cs="Times New Roman"/>
          <w:highlight w:val="none"/>
        </w:rPr>
        <w:t>年度部门决算情况说明</w:t>
      </w:r>
      <w:r>
        <w:rPr>
          <w:rFonts w:hint="default" w:ascii="Times New Roman" w:hAnsi="Times New Roman" w:cs="Times New Roman"/>
          <w:highlight w:val="none"/>
        </w:rPr>
        <w:tab/>
      </w:r>
      <w:r>
        <w:rPr>
          <w:rFonts w:hint="eastAsia" w:ascii="Times New Roman" w:hAnsi="Times New Roman" w:cs="Times New Roman"/>
          <w:kern w:val="2"/>
          <w:sz w:val="28"/>
          <w:szCs w:val="28"/>
          <w:highlight w:val="none"/>
          <w:lang w:val="en-US" w:eastAsia="zh-CN" w:bidi="ar-SA"/>
        </w:rPr>
        <w:t>5</w:t>
      </w:r>
      <w:r>
        <w:rPr>
          <w:rFonts w:hint="default" w:ascii="Times New Roman" w:hAnsi="Times New Roman" w:cs="Times New Roman"/>
          <w:highlight w:val="none"/>
        </w:rPr>
        <w:fldChar w:fldCharType="end"/>
      </w:r>
    </w:p>
    <w:p>
      <w:pPr>
        <w:pStyle w:val="9"/>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"_Toc15396603"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bCs/>
          <w:sz w:val="28"/>
          <w:szCs w:val="28"/>
          <w:highlight w:val="none"/>
        </w:rPr>
        <w:t>一、</w:t>
      </w:r>
      <w:r>
        <w:rPr>
          <w:rStyle w:val="14"/>
          <w:rFonts w:hint="default" w:ascii="Times New Roman" w:hAnsi="Times New Roman" w:eastAsia="仿宋" w:cs="Times New Roman"/>
          <w:sz w:val="28"/>
          <w:szCs w:val="28"/>
          <w:highlight w:val="none"/>
        </w:rPr>
        <w:t>收</w:t>
      </w:r>
      <w:r>
        <w:rPr>
          <w:rStyle w:val="14"/>
          <w:rFonts w:hint="default" w:ascii="Times New Roman" w:hAnsi="Times New Roman" w:eastAsia="仿宋" w:cs="Times New Roman"/>
          <w:bCs/>
          <w:sz w:val="28"/>
          <w:szCs w:val="28"/>
          <w:highlight w:val="none"/>
        </w:rPr>
        <w:t>入支出决算总体情况说明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5</w:t>
      </w:r>
      <w:r>
        <w:rPr>
          <w:rFonts w:hint="default" w:ascii="Times New Roman" w:hAnsi="Times New Roman" w:eastAsia="仿宋" w:cs="Times New Roman"/>
          <w:sz w:val="28"/>
          <w:szCs w:val="28"/>
          <w:highlight w:val="none"/>
        </w:rPr>
        <w:fldChar w:fldCharType="end"/>
      </w:r>
    </w:p>
    <w:p>
      <w:pPr>
        <w:pStyle w:val="9"/>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"_Toc15396604"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bCs/>
          <w:sz w:val="28"/>
          <w:szCs w:val="28"/>
          <w:highlight w:val="none"/>
        </w:rPr>
        <w:t>二、</w:t>
      </w:r>
      <w:r>
        <w:rPr>
          <w:rStyle w:val="14"/>
          <w:rFonts w:hint="default" w:ascii="Times New Roman" w:hAnsi="Times New Roman" w:eastAsia="仿宋" w:cs="Times New Roman"/>
          <w:sz w:val="28"/>
          <w:szCs w:val="28"/>
          <w:highlight w:val="none"/>
        </w:rPr>
        <w:t>收</w:t>
      </w:r>
      <w:r>
        <w:rPr>
          <w:rStyle w:val="14"/>
          <w:rFonts w:hint="default" w:ascii="Times New Roman" w:hAnsi="Times New Roman" w:eastAsia="仿宋" w:cs="Times New Roman"/>
          <w:bCs/>
          <w:sz w:val="28"/>
          <w:szCs w:val="28"/>
          <w:highlight w:val="none"/>
        </w:rPr>
        <w:t>入决算情况说明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5</w:t>
      </w:r>
      <w:r>
        <w:rPr>
          <w:rFonts w:hint="default" w:ascii="Times New Roman" w:hAnsi="Times New Roman" w:eastAsia="仿宋" w:cs="Times New Roman"/>
          <w:sz w:val="28"/>
          <w:szCs w:val="28"/>
          <w:highlight w:val="none"/>
        </w:rPr>
        <w:fldChar w:fldCharType="end"/>
      </w:r>
    </w:p>
    <w:p>
      <w:pPr>
        <w:pStyle w:val="9"/>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"_Toc15396605"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bCs/>
          <w:sz w:val="28"/>
          <w:szCs w:val="28"/>
          <w:highlight w:val="none"/>
        </w:rPr>
        <w:t>三、</w:t>
      </w:r>
      <w:r>
        <w:rPr>
          <w:rStyle w:val="14"/>
          <w:rFonts w:hint="default" w:ascii="Times New Roman" w:hAnsi="Times New Roman" w:eastAsia="仿宋" w:cs="Times New Roman"/>
          <w:sz w:val="28"/>
          <w:szCs w:val="28"/>
          <w:highlight w:val="none"/>
        </w:rPr>
        <w:t>支</w:t>
      </w:r>
      <w:r>
        <w:rPr>
          <w:rStyle w:val="14"/>
          <w:rFonts w:hint="default" w:ascii="Times New Roman" w:hAnsi="Times New Roman" w:eastAsia="仿宋" w:cs="Times New Roman"/>
          <w:bCs/>
          <w:sz w:val="28"/>
          <w:szCs w:val="28"/>
          <w:highlight w:val="none"/>
        </w:rPr>
        <w:t>出决算情况说明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6</w:t>
      </w:r>
      <w:r>
        <w:rPr>
          <w:rFonts w:hint="default" w:ascii="Times New Roman" w:hAnsi="Times New Roman" w:eastAsia="仿宋" w:cs="Times New Roman"/>
          <w:sz w:val="28"/>
          <w:szCs w:val="28"/>
          <w:highlight w:val="none"/>
        </w:rPr>
        <w:fldChar w:fldCharType="end"/>
      </w:r>
    </w:p>
    <w:p>
      <w:pPr>
        <w:pStyle w:val="9"/>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"_Toc15396606"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sz w:val="28"/>
          <w:szCs w:val="28"/>
          <w:highlight w:val="none"/>
        </w:rPr>
        <w:t>四、财</w:t>
      </w:r>
      <w:r>
        <w:rPr>
          <w:rStyle w:val="14"/>
          <w:rFonts w:hint="default" w:ascii="Times New Roman" w:hAnsi="Times New Roman" w:eastAsia="仿宋" w:cs="Times New Roman"/>
          <w:bCs/>
          <w:sz w:val="28"/>
          <w:szCs w:val="28"/>
          <w:highlight w:val="none"/>
        </w:rPr>
        <w:t>政拨款收入支出决算总体情况说明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6</w:t>
      </w:r>
      <w:r>
        <w:rPr>
          <w:rFonts w:hint="default" w:ascii="Times New Roman" w:hAnsi="Times New Roman" w:eastAsia="仿宋" w:cs="Times New Roman"/>
          <w:sz w:val="28"/>
          <w:szCs w:val="28"/>
          <w:highlight w:val="none"/>
        </w:rPr>
        <w:fldChar w:fldCharType="end"/>
      </w:r>
    </w:p>
    <w:p>
      <w:pPr>
        <w:pStyle w:val="9"/>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"_Toc15396607"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sz w:val="28"/>
          <w:szCs w:val="28"/>
          <w:highlight w:val="none"/>
        </w:rPr>
        <w:t>五、一</w:t>
      </w:r>
      <w:r>
        <w:rPr>
          <w:rStyle w:val="14"/>
          <w:rFonts w:hint="default" w:ascii="Times New Roman" w:hAnsi="Times New Roman" w:eastAsia="仿宋" w:cs="Times New Roman"/>
          <w:bCs/>
          <w:sz w:val="28"/>
          <w:szCs w:val="28"/>
          <w:highlight w:val="none"/>
        </w:rPr>
        <w:t>般公共预算财政拨款支出决算情况说明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6</w:t>
      </w:r>
      <w:r>
        <w:rPr>
          <w:rFonts w:hint="default" w:ascii="Times New Roman" w:hAnsi="Times New Roman" w:eastAsia="仿宋" w:cs="Times New Roman"/>
          <w:sz w:val="28"/>
          <w:szCs w:val="28"/>
          <w:highlight w:val="none"/>
        </w:rPr>
        <w:fldChar w:fldCharType="end"/>
      </w:r>
    </w:p>
    <w:p>
      <w:pPr>
        <w:pStyle w:val="9"/>
        <w:pageBreakBefore w:val="0"/>
        <w:kinsoku/>
        <w:wordWrap/>
        <w:overflowPunct/>
        <w:topLinePunct w:val="0"/>
        <w:bidi w:val="0"/>
        <w:spacing w:line="560" w:lineRule="exact"/>
        <w:rPr>
          <w:rFonts w:hint="eastAsia" w:ascii="Times New Roman" w:hAnsi="Times New Roman" w:eastAsia="仿宋" w:cs="Times New Roman"/>
          <w:sz w:val="28"/>
          <w:szCs w:val="28"/>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"_Toc15396608"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sz w:val="28"/>
          <w:szCs w:val="28"/>
          <w:highlight w:val="none"/>
        </w:rPr>
        <w:t>六、一</w:t>
      </w:r>
      <w:r>
        <w:rPr>
          <w:rStyle w:val="14"/>
          <w:rFonts w:hint="default" w:ascii="Times New Roman" w:hAnsi="Times New Roman" w:eastAsia="仿宋" w:cs="Times New Roman"/>
          <w:bCs/>
          <w:sz w:val="28"/>
          <w:szCs w:val="28"/>
          <w:highlight w:val="none"/>
        </w:rPr>
        <w:t>般公共预算财政拨款基本支出决算情况说明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1</w:t>
      </w:r>
      <w:r>
        <w:rPr>
          <w:rFonts w:hint="default" w:ascii="Times New Roman" w:hAnsi="Times New Roman" w:eastAsia="仿宋" w:cs="Times New Roman"/>
          <w:sz w:val="28"/>
          <w:szCs w:val="28"/>
          <w:highlight w:val="none"/>
        </w:rPr>
        <w:fldChar w:fldCharType="end"/>
      </w:r>
      <w:r>
        <w:rPr>
          <w:rFonts w:hint="eastAsia" w:eastAsia="仿宋" w:cs="Times New Roman"/>
          <w:sz w:val="28"/>
          <w:szCs w:val="28"/>
          <w:highlight w:val="none"/>
          <w:lang w:val="en-US" w:eastAsia="zh-CN"/>
        </w:rPr>
        <w:t>0</w:t>
      </w:r>
    </w:p>
    <w:p>
      <w:pPr>
        <w:pStyle w:val="9"/>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"_Toc15396609"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sz w:val="28"/>
          <w:szCs w:val="28"/>
          <w:highlight w:val="none"/>
        </w:rPr>
        <w:t>七、“</w:t>
      </w:r>
      <w:r>
        <w:rPr>
          <w:rStyle w:val="14"/>
          <w:rFonts w:hint="default" w:ascii="Times New Roman" w:hAnsi="Times New Roman" w:eastAsia="仿宋" w:cs="Times New Roman"/>
          <w:bCs/>
          <w:sz w:val="28"/>
          <w:szCs w:val="28"/>
          <w:highlight w:val="none"/>
        </w:rPr>
        <w:t>三公”经费财政拨款支出决算情况说明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10</w:t>
      </w:r>
      <w:r>
        <w:rPr>
          <w:rFonts w:hint="default" w:ascii="Times New Roman" w:hAnsi="Times New Roman" w:eastAsia="仿宋" w:cs="Times New Roman"/>
          <w:sz w:val="28"/>
          <w:szCs w:val="28"/>
          <w:highlight w:val="none"/>
        </w:rPr>
        <w:fldChar w:fldCharType="end"/>
      </w:r>
    </w:p>
    <w:p>
      <w:pPr>
        <w:pStyle w:val="9"/>
        <w:pageBreakBefore w:val="0"/>
        <w:kinsoku/>
        <w:wordWrap/>
        <w:overflowPunct/>
        <w:topLinePunct w:val="0"/>
        <w:bidi w:val="0"/>
        <w:spacing w:line="560" w:lineRule="exact"/>
        <w:rPr>
          <w:rFonts w:hint="default" w:ascii="Times New Roman" w:hAnsi="Times New Roman" w:eastAsia="仿宋" w:cs="Times New Roman"/>
          <w:sz w:val="28"/>
          <w:szCs w:val="28"/>
          <w:highlight w:val="none"/>
          <w:lang w:val="en-US"/>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"_Toc15396610"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sz w:val="28"/>
          <w:szCs w:val="28"/>
          <w:highlight w:val="none"/>
        </w:rPr>
        <w:t>八、</w:t>
      </w:r>
      <w:r>
        <w:rPr>
          <w:rStyle w:val="14"/>
          <w:rFonts w:hint="default" w:ascii="Times New Roman" w:hAnsi="Times New Roman" w:eastAsia="仿宋" w:cs="Times New Roman"/>
          <w:bCs/>
          <w:sz w:val="28"/>
          <w:szCs w:val="28"/>
          <w:highlight w:val="none"/>
        </w:rPr>
        <w:t>政府性基金预算支出决算情况说明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1</w:t>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2</w:t>
      </w:r>
    </w:p>
    <w:p>
      <w:pPr>
        <w:pStyle w:val="9"/>
        <w:pageBreakBefore w:val="0"/>
        <w:kinsoku/>
        <w:wordWrap/>
        <w:overflowPunct/>
        <w:topLinePunct w:val="0"/>
        <w:bidi w:val="0"/>
        <w:spacing w:line="560" w:lineRule="exact"/>
        <w:rPr>
          <w:rFonts w:hint="default"/>
          <w:highlight w:val="none"/>
          <w:lang w:val="en-US"/>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"_Toc15396611"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bCs/>
          <w:sz w:val="28"/>
          <w:szCs w:val="28"/>
          <w:highlight w:val="none"/>
        </w:rPr>
        <w:t>九、</w:t>
      </w:r>
      <w:r>
        <w:rPr>
          <w:rStyle w:val="14"/>
          <w:rFonts w:hint="default" w:ascii="Times New Roman" w:hAnsi="Times New Roman" w:eastAsia="仿宋" w:cs="Times New Roman"/>
          <w:sz w:val="28"/>
          <w:szCs w:val="28"/>
          <w:highlight w:val="none"/>
        </w:rPr>
        <w:t xml:space="preserve"> 国</w:t>
      </w:r>
      <w:r>
        <w:rPr>
          <w:rStyle w:val="14"/>
          <w:rFonts w:hint="default" w:ascii="Times New Roman" w:hAnsi="Times New Roman" w:eastAsia="仿宋" w:cs="Times New Roman"/>
          <w:bCs/>
          <w:sz w:val="28"/>
          <w:szCs w:val="28"/>
          <w:highlight w:val="none"/>
        </w:rPr>
        <w:t>有资本经营预算支出决算情况说明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1</w:t>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2</w:t>
      </w:r>
    </w:p>
    <w:p>
      <w:pPr>
        <w:pStyle w:val="9"/>
        <w:pageBreakBefore w:val="0"/>
        <w:kinsoku/>
        <w:wordWrap/>
        <w:overflowPunct/>
        <w:topLinePunct w:val="0"/>
        <w:bidi w:val="0"/>
        <w:spacing w:line="560" w:lineRule="exact"/>
        <w:rPr>
          <w:rFonts w:hint="eastAsia" w:ascii="Times New Roman" w:hAnsi="Times New Roman" w:eastAsia="仿宋" w:cs="Times New Roman"/>
          <w:sz w:val="28"/>
          <w:szCs w:val="28"/>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"_Toc15396612"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sz w:val="28"/>
          <w:szCs w:val="28"/>
          <w:highlight w:val="none"/>
        </w:rPr>
        <w:t>十</w:t>
      </w:r>
      <w:r>
        <w:rPr>
          <w:rStyle w:val="14"/>
          <w:rFonts w:hint="default" w:ascii="Times New Roman" w:hAnsi="Times New Roman" w:eastAsia="仿宋" w:cs="Times New Roman"/>
          <w:bCs/>
          <w:sz w:val="28"/>
          <w:szCs w:val="28"/>
          <w:highlight w:val="none"/>
        </w:rPr>
        <w:t>、其他重要事项的情况说明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1</w:t>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2</w:t>
      </w:r>
    </w:p>
    <w:p>
      <w:pPr>
        <w:pStyle w:val="8"/>
        <w:pageBreakBefore w:val="0"/>
        <w:kinsoku/>
        <w:wordWrap/>
        <w:overflowPunct/>
        <w:topLinePunct w:val="0"/>
        <w:bidi w:val="0"/>
        <w:spacing w:before="0" w:line="560" w:lineRule="exact"/>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"_Toc15396613" </w:instrText>
      </w:r>
      <w:r>
        <w:rPr>
          <w:rFonts w:hint="default" w:ascii="Times New Roman" w:hAnsi="Times New Roman" w:cs="Times New Roman"/>
          <w:highlight w:val="none"/>
        </w:rPr>
        <w:fldChar w:fldCharType="separate"/>
      </w:r>
      <w:r>
        <w:rPr>
          <w:rStyle w:val="14"/>
          <w:rFonts w:hint="default" w:ascii="Times New Roman" w:hAnsi="Times New Roman" w:cs="Times New Roman"/>
          <w:bCs/>
          <w:kern w:val="44"/>
          <w:highlight w:val="none"/>
        </w:rPr>
        <w:t>第三部分</w:t>
      </w:r>
      <w:r>
        <w:rPr>
          <w:rStyle w:val="14"/>
          <w:rFonts w:hint="default" w:ascii="Times New Roman" w:hAnsi="Times New Roman" w:cs="Times New Roman"/>
          <w:highlight w:val="none"/>
        </w:rPr>
        <w:t xml:space="preserve"> 名</w:t>
      </w:r>
      <w:r>
        <w:rPr>
          <w:rStyle w:val="14"/>
          <w:rFonts w:hint="default" w:ascii="Times New Roman" w:hAnsi="Times New Roman" w:cs="Times New Roman"/>
          <w:bCs/>
          <w:kern w:val="44"/>
          <w:highlight w:val="none"/>
        </w:rPr>
        <w:t>词解释</w:t>
      </w:r>
      <w:r>
        <w:rPr>
          <w:rFonts w:hint="default" w:ascii="Times New Roman" w:hAnsi="Times New Roman" w:cs="Times New Roman"/>
          <w:highlight w:val="none"/>
        </w:rPr>
        <w:tab/>
      </w:r>
      <w:r>
        <w:rPr>
          <w:rFonts w:hint="eastAsia" w:ascii="Times New Roman" w:hAnsi="Times New Roman" w:eastAsia="仿宋" w:cs="Times New Roman"/>
          <w:kern w:val="2"/>
          <w:sz w:val="28"/>
          <w:szCs w:val="28"/>
          <w:highlight w:val="none"/>
          <w:lang w:val="en-US" w:eastAsia="zh-CN" w:bidi="ar-SA"/>
        </w:rPr>
        <w:t>1</w:t>
      </w:r>
      <w:r>
        <w:rPr>
          <w:rFonts w:hint="eastAsia" w:ascii="Times New Roman" w:hAnsi="Times New Roman" w:cs="Times New Roman"/>
          <w:kern w:val="2"/>
          <w:sz w:val="28"/>
          <w:szCs w:val="28"/>
          <w:highlight w:val="none"/>
          <w:lang w:val="en-US" w:eastAsia="zh-CN" w:bidi="ar-SA"/>
        </w:rPr>
        <w:t>7</w:t>
      </w:r>
      <w:r>
        <w:rPr>
          <w:rFonts w:hint="default" w:ascii="Times New Roman" w:hAnsi="Times New Roman" w:eastAsia="仿宋" w:cs="Times New Roman"/>
          <w:kern w:val="2"/>
          <w:sz w:val="28"/>
          <w:szCs w:val="28"/>
          <w:highlight w:val="none"/>
          <w:lang w:val="en-US" w:eastAsia="zh-CN" w:bidi="ar-SA"/>
        </w:rPr>
        <w:fldChar w:fldCharType="end"/>
      </w:r>
    </w:p>
    <w:p>
      <w:pPr>
        <w:pStyle w:val="8"/>
        <w:pageBreakBefore w:val="0"/>
        <w:kinsoku/>
        <w:wordWrap/>
        <w:overflowPunct/>
        <w:topLinePunct w:val="0"/>
        <w:bidi w:val="0"/>
        <w:spacing w:before="0" w:line="560" w:lineRule="exact"/>
        <w:rPr>
          <w:rFonts w:hint="eastAsia" w:ascii="Times New Roman" w:hAnsi="Times New Roman" w:eastAsia="仿宋" w:cs="Times New Roman"/>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"_Toc15396614" </w:instrText>
      </w:r>
      <w:r>
        <w:rPr>
          <w:rFonts w:hint="default" w:ascii="Times New Roman" w:hAnsi="Times New Roman" w:cs="Times New Roman"/>
          <w:highlight w:val="none"/>
        </w:rPr>
        <w:fldChar w:fldCharType="separate"/>
      </w:r>
      <w:r>
        <w:rPr>
          <w:rStyle w:val="14"/>
          <w:rFonts w:hint="default" w:ascii="Times New Roman" w:hAnsi="Times New Roman" w:cs="Times New Roman"/>
          <w:highlight w:val="none"/>
        </w:rPr>
        <w:t>第</w:t>
      </w:r>
      <w:r>
        <w:rPr>
          <w:rStyle w:val="14"/>
          <w:rFonts w:hint="default" w:ascii="Times New Roman" w:hAnsi="Times New Roman" w:cs="Times New Roman"/>
          <w:bCs/>
          <w:kern w:val="44"/>
          <w:highlight w:val="none"/>
        </w:rPr>
        <w:t>四部分 附件</w:t>
      </w:r>
      <w:r>
        <w:rPr>
          <w:rFonts w:hint="default" w:ascii="Times New Roman" w:hAnsi="Times New Roman" w:cs="Times New Roman"/>
          <w:highlight w:val="none"/>
        </w:rPr>
        <w:tab/>
      </w:r>
      <w:r>
        <w:rPr>
          <w:rFonts w:hint="eastAsia" w:ascii="Times New Roman" w:hAnsi="Times New Roman" w:eastAsia="仿宋" w:cs="Times New Roman"/>
          <w:kern w:val="2"/>
          <w:sz w:val="28"/>
          <w:szCs w:val="28"/>
          <w:highlight w:val="none"/>
          <w:lang w:val="en-US" w:eastAsia="zh-CN" w:bidi="ar-SA"/>
        </w:rPr>
        <w:t>1</w:t>
      </w:r>
      <w:r>
        <w:rPr>
          <w:rFonts w:hint="default" w:ascii="Times New Roman" w:hAnsi="Times New Roman" w:eastAsia="仿宋" w:cs="Times New Roman"/>
          <w:kern w:val="2"/>
          <w:sz w:val="28"/>
          <w:szCs w:val="28"/>
          <w:highlight w:val="none"/>
          <w:lang w:val="en-US" w:eastAsia="zh-CN" w:bidi="ar-SA"/>
        </w:rPr>
        <w:fldChar w:fldCharType="end"/>
      </w:r>
      <w:r>
        <w:rPr>
          <w:rFonts w:hint="eastAsia" w:ascii="Times New Roman" w:hAnsi="Times New Roman" w:cs="Times New Roman"/>
          <w:kern w:val="2"/>
          <w:sz w:val="28"/>
          <w:szCs w:val="28"/>
          <w:highlight w:val="none"/>
          <w:lang w:val="en-US" w:eastAsia="zh-CN" w:bidi="ar-SA"/>
        </w:rPr>
        <w:t>8</w:t>
      </w:r>
    </w:p>
    <w:p>
      <w:pPr>
        <w:pStyle w:val="9"/>
        <w:pageBreakBefore w:val="0"/>
        <w:kinsoku/>
        <w:wordWrap/>
        <w:overflowPunct/>
        <w:topLinePunct w:val="0"/>
        <w:bidi w:val="0"/>
        <w:spacing w:line="560" w:lineRule="exact"/>
        <w:rPr>
          <w:rFonts w:hint="eastAsia" w:ascii="Times New Roman" w:hAnsi="Times New Roman" w:eastAsia="仿宋" w:cs="Times New Roman"/>
          <w:sz w:val="28"/>
          <w:szCs w:val="28"/>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"_Toc15396615"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kern w:val="44"/>
          <w:sz w:val="28"/>
          <w:szCs w:val="28"/>
          <w:highlight w:val="none"/>
        </w:rPr>
        <w:t>附件1</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1</w:t>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8</w:t>
      </w:r>
    </w:p>
    <w:p>
      <w:pPr>
        <w:pStyle w:val="8"/>
        <w:pageBreakBefore w:val="0"/>
        <w:kinsoku/>
        <w:wordWrap/>
        <w:overflowPunct/>
        <w:topLinePunct w:val="0"/>
        <w:bidi w:val="0"/>
        <w:spacing w:before="0" w:line="560" w:lineRule="exact"/>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"_Toc15396618" </w:instrText>
      </w:r>
      <w:r>
        <w:rPr>
          <w:rFonts w:hint="default" w:ascii="Times New Roman" w:hAnsi="Times New Roman" w:cs="Times New Roman"/>
          <w:highlight w:val="none"/>
        </w:rPr>
        <w:fldChar w:fldCharType="separate"/>
      </w:r>
      <w:r>
        <w:rPr>
          <w:rStyle w:val="14"/>
          <w:rFonts w:hint="default" w:ascii="Times New Roman" w:hAnsi="Times New Roman" w:cs="Times New Roman"/>
          <w:highlight w:val="none"/>
        </w:rPr>
        <w:t>第</w:t>
      </w:r>
      <w:r>
        <w:rPr>
          <w:rStyle w:val="14"/>
          <w:rFonts w:hint="default" w:ascii="Times New Roman" w:hAnsi="Times New Roman" w:cs="Times New Roman"/>
          <w:bCs/>
          <w:kern w:val="44"/>
          <w:highlight w:val="none"/>
        </w:rPr>
        <w:t>五部分 附表</w:t>
      </w:r>
      <w:r>
        <w:rPr>
          <w:rFonts w:hint="default" w:ascii="Times New Roman" w:hAnsi="Times New Roman" w:cs="Times New Roman"/>
          <w:highlight w:val="none"/>
        </w:rPr>
        <w:tab/>
      </w:r>
      <w:r>
        <w:rPr>
          <w:rFonts w:hint="default" w:ascii="Times New Roman" w:hAnsi="Times New Roman" w:eastAsia="仿宋" w:cs="Times New Roman"/>
          <w:kern w:val="2"/>
          <w:sz w:val="28"/>
          <w:szCs w:val="28"/>
          <w:highlight w:val="none"/>
          <w:lang w:val="en-US" w:eastAsia="zh-CN" w:bidi="ar-SA"/>
        </w:rPr>
        <w:fldChar w:fldCharType="begin"/>
      </w:r>
      <w:r>
        <w:rPr>
          <w:rFonts w:hint="default" w:ascii="Times New Roman" w:hAnsi="Times New Roman" w:eastAsia="仿宋" w:cs="Times New Roman"/>
          <w:kern w:val="2"/>
          <w:sz w:val="28"/>
          <w:szCs w:val="28"/>
          <w:highlight w:val="none"/>
          <w:lang w:val="en-US" w:eastAsia="zh-CN" w:bidi="ar-SA"/>
        </w:rPr>
        <w:instrText xml:space="preserve"> PAGEREF _Toc15396618 \h </w:instrText>
      </w:r>
      <w:r>
        <w:rPr>
          <w:rFonts w:hint="default" w:ascii="Times New Roman" w:hAnsi="Times New Roman" w:eastAsia="仿宋" w:cs="Times New Roman"/>
          <w:kern w:val="2"/>
          <w:sz w:val="28"/>
          <w:szCs w:val="28"/>
          <w:highlight w:val="none"/>
          <w:lang w:val="en-US" w:eastAsia="zh-CN" w:bidi="ar-SA"/>
        </w:rPr>
        <w:fldChar w:fldCharType="separate"/>
      </w:r>
      <w:r>
        <w:rPr>
          <w:rFonts w:hint="default" w:ascii="Times New Roman" w:hAnsi="Times New Roman" w:eastAsia="仿宋" w:cs="Times New Roman"/>
          <w:kern w:val="2"/>
          <w:sz w:val="28"/>
          <w:szCs w:val="28"/>
          <w:highlight w:val="none"/>
          <w:lang w:val="en-US" w:eastAsia="zh-CN" w:bidi="ar-SA"/>
        </w:rPr>
        <w:t>22</w:t>
      </w:r>
      <w:r>
        <w:rPr>
          <w:rFonts w:hint="default" w:ascii="Times New Roman" w:hAnsi="Times New Roman" w:eastAsia="仿宋" w:cs="Times New Roman"/>
          <w:kern w:val="2"/>
          <w:sz w:val="28"/>
          <w:szCs w:val="28"/>
          <w:highlight w:val="none"/>
          <w:lang w:val="en-US" w:eastAsia="zh-CN" w:bidi="ar-SA"/>
        </w:rPr>
        <w:fldChar w:fldCharType="end"/>
      </w:r>
      <w:r>
        <w:rPr>
          <w:rFonts w:hint="default" w:ascii="Times New Roman" w:hAnsi="Times New Roman" w:eastAsia="仿宋" w:cs="Times New Roman"/>
          <w:kern w:val="2"/>
          <w:sz w:val="28"/>
          <w:szCs w:val="28"/>
          <w:highlight w:val="none"/>
          <w:lang w:val="en-US" w:eastAsia="zh-CN" w:bidi="ar-SA"/>
        </w:rPr>
        <w:fldChar w:fldCharType="end"/>
      </w:r>
    </w:p>
    <w:p>
      <w:pPr>
        <w:pStyle w:val="9"/>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一、</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"_Toc15396619"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sz w:val="28"/>
          <w:szCs w:val="28"/>
          <w:highlight w:val="none"/>
        </w:rPr>
        <w:t>收入支出决算总表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_Toc15396619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22</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9"/>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二、</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"_Toc15396620"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sz w:val="28"/>
          <w:szCs w:val="28"/>
          <w:highlight w:val="none"/>
        </w:rPr>
        <w:t>收入</w:t>
      </w:r>
      <w:r>
        <w:rPr>
          <w:rStyle w:val="14"/>
          <w:rFonts w:hint="eastAsia" w:eastAsia="仿宋" w:cs="Times New Roman"/>
          <w:sz w:val="28"/>
          <w:szCs w:val="28"/>
          <w:highlight w:val="none"/>
          <w:lang w:eastAsia="zh-CN"/>
        </w:rPr>
        <w:t>决算</w:t>
      </w:r>
      <w:r>
        <w:rPr>
          <w:rStyle w:val="14"/>
          <w:rFonts w:hint="default" w:ascii="Times New Roman" w:hAnsi="Times New Roman" w:eastAsia="仿宋" w:cs="Times New Roman"/>
          <w:sz w:val="28"/>
          <w:szCs w:val="28"/>
          <w:highlight w:val="none"/>
        </w:rPr>
        <w:t>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_Toc15396620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22</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9"/>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三、</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"_Toc15396621"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sz w:val="28"/>
          <w:szCs w:val="28"/>
          <w:highlight w:val="none"/>
        </w:rPr>
        <w:t>支出</w:t>
      </w:r>
      <w:r>
        <w:rPr>
          <w:rStyle w:val="14"/>
          <w:rFonts w:hint="eastAsia" w:eastAsia="仿宋" w:cs="Times New Roman"/>
          <w:sz w:val="28"/>
          <w:szCs w:val="28"/>
          <w:highlight w:val="none"/>
          <w:lang w:eastAsia="zh-CN"/>
        </w:rPr>
        <w:t>决算</w:t>
      </w:r>
      <w:r>
        <w:rPr>
          <w:rStyle w:val="14"/>
          <w:rFonts w:hint="default" w:ascii="Times New Roman" w:hAnsi="Times New Roman" w:eastAsia="仿宋" w:cs="Times New Roman"/>
          <w:sz w:val="28"/>
          <w:szCs w:val="28"/>
          <w:highlight w:val="none"/>
        </w:rPr>
        <w:t>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_Toc15396621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22</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9"/>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四、</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"_Toc15396622"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sz w:val="28"/>
          <w:szCs w:val="28"/>
          <w:highlight w:val="none"/>
        </w:rPr>
        <w:t>财政拨款收入支出决算总表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_Toc15396622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22</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9"/>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五、</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"_Toc15396623" </w:instrText>
      </w:r>
      <w:r>
        <w:rPr>
          <w:rFonts w:hint="default" w:ascii="Times New Roman" w:hAnsi="Times New Roman" w:cs="Times New Roman"/>
          <w:highlight w:val="none"/>
        </w:rPr>
        <w:fldChar w:fldCharType="separate"/>
      </w:r>
      <w:r>
        <w:rPr>
          <w:rFonts w:hint="default" w:ascii="Times New Roman" w:hAnsi="Times New Roman" w:eastAsia="仿宋" w:cs="Times New Roman"/>
          <w:sz w:val="28"/>
          <w:szCs w:val="28"/>
          <w:highlight w:val="none"/>
        </w:rPr>
        <w:t>财政拨款支出决算明细表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_Toc15396623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22</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9"/>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六、</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"_Toc15396624"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sz w:val="28"/>
          <w:szCs w:val="28"/>
          <w:highlight w:val="none"/>
        </w:rPr>
        <w:t>一般公共预算财政拨款支出决算表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_Toc15396624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22</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9"/>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七、</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"_Toc15396625"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sz w:val="28"/>
          <w:szCs w:val="28"/>
          <w:highlight w:val="none"/>
        </w:rPr>
        <w:t>一般公共预算财政拨款支出决算明细表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_Toc15396625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22</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9"/>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八、</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"_Toc15396626"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sz w:val="28"/>
          <w:szCs w:val="28"/>
          <w:highlight w:val="none"/>
        </w:rPr>
        <w:t>一般公共预算财政拨款基本支出决算表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_Toc15396626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22</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9"/>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九、</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"_Toc15396627"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sz w:val="28"/>
          <w:szCs w:val="28"/>
          <w:highlight w:val="none"/>
        </w:rPr>
        <w:t>一般公共预算财政拨款项目支出决算表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_Toc15396627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22</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9"/>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十、</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"_Toc15396628"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sz w:val="28"/>
          <w:szCs w:val="28"/>
          <w:highlight w:val="none"/>
        </w:rPr>
        <w:t>一般公共预算财政拨款“三公”经费支出决算表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_Toc15396628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22</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9"/>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十一、</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"_Toc15396629"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sz w:val="28"/>
          <w:szCs w:val="28"/>
          <w:highlight w:val="none"/>
        </w:rPr>
        <w:t>政府性基金预算财政拨款收入支出决算表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_Toc15396629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22</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9"/>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十二、</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"_Toc15396630"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sz w:val="28"/>
          <w:szCs w:val="28"/>
          <w:highlight w:val="none"/>
        </w:rPr>
        <w:t>政府性基金预算财政拨款“三公”经费支出决算表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_Toc15396630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22</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9"/>
        <w:pageBreakBefore w:val="0"/>
        <w:kinsoku/>
        <w:wordWrap/>
        <w:overflowPunct/>
        <w:topLinePunct w:val="0"/>
        <w:bidi w:val="0"/>
        <w:spacing w:line="56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8"/>
          <w:szCs w:val="28"/>
          <w:highlight w:val="none"/>
        </w:rPr>
        <w:t>十三、</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"_Toc15396631"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sz w:val="28"/>
          <w:szCs w:val="28"/>
          <w:highlight w:val="none"/>
        </w:rPr>
        <w:t>国有资本经营预算支出决算表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_Toc15396631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22</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3"/>
        <w:pageBreakBefore w:val="0"/>
        <w:kinsoku/>
        <w:wordWrap/>
        <w:overflowPunct/>
        <w:topLinePunct w:val="0"/>
        <w:bidi w:val="0"/>
        <w:spacing w:before="0" w:line="560" w:lineRule="exact"/>
        <w:jc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fldChar w:fldCharType="end"/>
      </w:r>
    </w:p>
    <w:p>
      <w:pPr>
        <w:rPr>
          <w:rFonts w:hint="default" w:ascii="Times New Roman" w:hAnsi="Times New Roman" w:eastAsia="仿宋" w:cs="Times New Roman"/>
          <w:color w:val="000000"/>
          <w:sz w:val="24"/>
          <w:highlight w:val="none"/>
        </w:rPr>
      </w:pPr>
    </w:p>
    <w:p>
      <w:pPr>
        <w:pStyle w:val="2"/>
        <w:rPr>
          <w:rFonts w:hint="default" w:ascii="Times New Roman" w:hAnsi="Times New Roman" w:eastAsia="仿宋" w:cs="Times New Roman"/>
          <w:color w:val="000000"/>
          <w:sz w:val="24"/>
          <w:highlight w:val="none"/>
        </w:rPr>
      </w:pPr>
    </w:p>
    <w:p>
      <w:pPr>
        <w:pStyle w:val="2"/>
        <w:rPr>
          <w:rFonts w:hint="default" w:ascii="Times New Roman" w:hAnsi="Times New Roman" w:eastAsia="仿宋" w:cs="Times New Roman"/>
          <w:color w:val="000000"/>
          <w:sz w:val="24"/>
          <w:highlight w:val="none"/>
        </w:rPr>
      </w:pPr>
    </w:p>
    <w:p>
      <w:pPr>
        <w:pStyle w:val="2"/>
        <w:rPr>
          <w:rFonts w:hint="default" w:ascii="Times New Roman" w:hAnsi="Times New Roman" w:eastAsia="仿宋" w:cs="Times New Roman"/>
          <w:color w:val="000000"/>
          <w:sz w:val="24"/>
          <w:highlight w:val="none"/>
        </w:rPr>
      </w:pPr>
    </w:p>
    <w:p>
      <w:pPr>
        <w:pStyle w:val="2"/>
        <w:rPr>
          <w:rFonts w:hint="default" w:ascii="Times New Roman" w:hAnsi="Times New Roman" w:eastAsia="仿宋" w:cs="Times New Roman"/>
          <w:color w:val="000000"/>
          <w:sz w:val="24"/>
          <w:highlight w:val="none"/>
        </w:rPr>
      </w:pPr>
    </w:p>
    <w:p>
      <w:pPr>
        <w:pStyle w:val="2"/>
        <w:rPr>
          <w:rFonts w:hint="default" w:ascii="Times New Roman" w:hAnsi="Times New Roman" w:eastAsia="仿宋" w:cs="Times New Roman"/>
          <w:color w:val="000000"/>
          <w:sz w:val="24"/>
          <w:highlight w:val="none"/>
        </w:rPr>
      </w:pPr>
    </w:p>
    <w:p>
      <w:pPr>
        <w:pStyle w:val="2"/>
        <w:rPr>
          <w:rFonts w:hint="default" w:ascii="Times New Roman" w:hAnsi="Times New Roman" w:eastAsia="仿宋" w:cs="Times New Roman"/>
          <w:color w:val="000000"/>
          <w:sz w:val="24"/>
          <w:highlight w:val="none"/>
        </w:rPr>
      </w:pPr>
    </w:p>
    <w:p>
      <w:pPr>
        <w:pStyle w:val="2"/>
        <w:rPr>
          <w:rFonts w:hint="default" w:ascii="Times New Roman" w:hAnsi="Times New Roman" w:eastAsia="仿宋" w:cs="Times New Roman"/>
          <w:color w:val="000000"/>
          <w:sz w:val="24"/>
          <w:highlight w:val="none"/>
        </w:rPr>
      </w:pPr>
    </w:p>
    <w:p>
      <w:pPr>
        <w:pStyle w:val="2"/>
        <w:rPr>
          <w:rFonts w:hint="default" w:ascii="Times New Roman" w:hAnsi="Times New Roman" w:eastAsia="仿宋" w:cs="Times New Roman"/>
          <w:color w:val="000000"/>
          <w:sz w:val="24"/>
          <w:highlight w:val="none"/>
        </w:rPr>
      </w:pPr>
    </w:p>
    <w:p>
      <w:pPr>
        <w:pStyle w:val="2"/>
        <w:rPr>
          <w:rFonts w:hint="default" w:ascii="Times New Roman" w:hAnsi="Times New Roman" w:eastAsia="仿宋" w:cs="Times New Roman"/>
          <w:color w:val="000000"/>
          <w:sz w:val="24"/>
          <w:highlight w:val="none"/>
        </w:rPr>
      </w:pPr>
    </w:p>
    <w:p>
      <w:pPr>
        <w:pStyle w:val="2"/>
        <w:rPr>
          <w:rFonts w:hint="default" w:ascii="Times New Roman" w:hAnsi="Times New Roman" w:eastAsia="仿宋" w:cs="Times New Roman"/>
          <w:color w:val="000000"/>
          <w:sz w:val="24"/>
          <w:highlight w:val="none"/>
        </w:rPr>
      </w:pPr>
    </w:p>
    <w:p>
      <w:pPr>
        <w:pStyle w:val="2"/>
        <w:rPr>
          <w:rFonts w:hint="eastAsia" w:ascii="Times New Roman" w:eastAsia="仿宋" w:cs="Times New Roman"/>
          <w:color w:val="000000"/>
          <w:sz w:val="24"/>
          <w:highlight w:val="none"/>
          <w:lang w:eastAsia="zh-CN"/>
        </w:rPr>
      </w:pPr>
    </w:p>
    <w:p>
      <w:pPr>
        <w:pStyle w:val="2"/>
        <w:rPr>
          <w:rFonts w:hint="eastAsia" w:ascii="Times New Roman" w:eastAsia="仿宋" w:cs="Times New Roman"/>
          <w:color w:val="000000"/>
          <w:sz w:val="24"/>
          <w:highlight w:val="none"/>
          <w:lang w:eastAsia="zh-CN"/>
        </w:rPr>
      </w:pPr>
    </w:p>
    <w:p>
      <w:pPr>
        <w:pStyle w:val="2"/>
        <w:rPr>
          <w:rFonts w:hint="eastAsia" w:ascii="Times New Roman" w:eastAsia="仿宋" w:cs="Times New Roman"/>
          <w:color w:val="000000"/>
          <w:sz w:val="24"/>
          <w:highlight w:val="none"/>
          <w:lang w:eastAsia="zh-CN"/>
        </w:rPr>
      </w:pPr>
    </w:p>
    <w:p>
      <w:pPr>
        <w:pStyle w:val="3"/>
        <w:pageBreakBefore w:val="0"/>
        <w:kinsoku/>
        <w:wordWrap/>
        <w:overflowPunct/>
        <w:topLinePunct w:val="0"/>
        <w:bidi w:val="0"/>
        <w:spacing w:before="0" w:line="560" w:lineRule="exact"/>
        <w:jc w:val="center"/>
        <w:rPr>
          <w:rFonts w:hint="default" w:ascii="Times New Roman" w:hAnsi="Times New Roman" w:eastAsia="黑体" w:cs="Times New Roman"/>
          <w:color w:val="000000"/>
          <w:sz w:val="32"/>
          <w:szCs w:val="32"/>
        </w:rPr>
      </w:pPr>
      <w:r>
        <w:rPr>
          <w:rFonts w:hint="default" w:ascii="Times New Roman" w:hAnsi="Times New Roman" w:eastAsia="黑体" w:cs="Times New Roman"/>
          <w:b w:val="0"/>
        </w:rPr>
        <w:t xml:space="preserve">第一部分 </w:t>
      </w:r>
      <w:r>
        <w:rPr>
          <w:rStyle w:val="15"/>
          <w:rFonts w:hint="default" w:ascii="Times New Roman" w:hAnsi="Times New Roman" w:eastAsia="黑体" w:cs="Times New Roman"/>
          <w:b w:val="0"/>
          <w:bCs w:val="0"/>
        </w:rPr>
        <w:t>部门概况</w:t>
      </w:r>
    </w:p>
    <w:p>
      <w:pPr>
        <w:pStyle w:val="4"/>
        <w:pageBreakBefore w:val="0"/>
        <w:widowControl w:val="0"/>
        <w:kinsoku/>
        <w:wordWrap/>
        <w:overflowPunct/>
        <w:topLinePunct w:val="0"/>
        <w:autoSpaceDE/>
        <w:autoSpaceDN/>
        <w:bidi w:val="0"/>
        <w:spacing w:before="0" w:line="560" w:lineRule="exact"/>
        <w:ind w:firstLine="640" w:firstLineChars="200"/>
        <w:textAlignment w:val="auto"/>
        <w:rPr>
          <w:rStyle w:val="16"/>
          <w:rFonts w:hint="default" w:ascii="Times New Roman" w:hAnsi="Times New Roman" w:eastAsia="黑体" w:cs="Times New Roman"/>
          <w:b w:val="0"/>
          <w:bCs w:val="0"/>
        </w:rPr>
      </w:pPr>
      <w:bookmarkStart w:id="11" w:name="_Toc15377197"/>
      <w:bookmarkStart w:id="12" w:name="_Toc15396600"/>
      <w:r>
        <w:rPr>
          <w:rFonts w:hint="default" w:ascii="Times New Roman" w:hAnsi="Times New Roman" w:eastAsia="黑体" w:cs="Times New Roman"/>
          <w:b w:val="0"/>
          <w:color w:val="000000"/>
        </w:rPr>
        <w:t>一、基</w:t>
      </w:r>
      <w:r>
        <w:rPr>
          <w:rStyle w:val="16"/>
          <w:rFonts w:hint="default" w:ascii="Times New Roman" w:hAnsi="Times New Roman" w:eastAsia="黑体" w:cs="Times New Roman"/>
          <w:b w:val="0"/>
          <w:bCs w:val="0"/>
        </w:rPr>
        <w:t>本职能及主要工作</w:t>
      </w:r>
      <w:bookmarkEnd w:id="11"/>
      <w:bookmarkEnd w:id="12"/>
      <w:bookmarkStart w:id="13" w:name="_Toc15377198"/>
      <w:bookmarkStart w:id="14" w:name="_Toc15378445"/>
    </w:p>
    <w:p>
      <w:pPr>
        <w:pStyle w:val="2"/>
        <w:adjustRightInd w:val="0"/>
        <w:snapToGrid w:val="0"/>
        <w:spacing w:before="93" w:line="600" w:lineRule="exact"/>
        <w:ind w:firstLine="675" w:firstLineChars="210"/>
        <w:outlineLvl w:val="2"/>
        <w:rPr>
          <w:rFonts w:hint="default" w:ascii="Times New Roman" w:hAnsi="Times New Roman" w:eastAsia="楷体_GB2312" w:cs="Times New Roman"/>
          <w:b/>
          <w:bCs w:val="0"/>
          <w:color w:val="000000"/>
          <w:sz w:val="32"/>
          <w:szCs w:val="32"/>
          <w:highlight w:val="yellow"/>
        </w:rPr>
      </w:pPr>
      <w:r>
        <w:rPr>
          <w:rFonts w:hint="default" w:ascii="Times New Roman" w:hAnsi="Times New Roman" w:eastAsia="楷体_GB2312" w:cs="Times New Roman"/>
          <w:b/>
          <w:bCs w:val="0"/>
          <w:color w:val="000000"/>
          <w:sz w:val="32"/>
          <w:szCs w:val="32"/>
        </w:rPr>
        <w:t>（一）主要职能。</w:t>
      </w:r>
      <w:bookmarkEnd w:id="13"/>
      <w:bookmarkEnd w:id="14"/>
    </w:p>
    <w:p>
      <w:pPr>
        <w:pStyle w:val="2"/>
        <w:adjustRightInd w:val="0"/>
        <w:snapToGrid w:val="0"/>
        <w:spacing w:before="93" w:line="600" w:lineRule="exact"/>
        <w:ind w:firstLine="672" w:firstLineChars="210"/>
        <w:outlineLvl w:val="2"/>
        <w:rPr>
          <w:rFonts w:hint="default" w:ascii="Times New Roman" w:hAnsi="Times New Roman" w:eastAsia="楷体_GB2312" w:cs="Times New Roman"/>
          <w:b/>
          <w:bCs w:val="0"/>
          <w:color w:val="000000"/>
          <w:sz w:val="32"/>
          <w:szCs w:val="32"/>
        </w:rPr>
      </w:pPr>
      <w:bookmarkStart w:id="15" w:name="_Toc15378446"/>
      <w:bookmarkStart w:id="16" w:name="_Toc15377199"/>
      <w:r>
        <w:rPr>
          <w:rFonts w:hint="eastAsia" w:hAnsi="仿宋"/>
          <w:sz w:val="32"/>
          <w:szCs w:val="32"/>
          <w:lang w:eastAsia="zh-CN"/>
        </w:rPr>
        <w:t>平昌县</w:t>
      </w:r>
      <w:r>
        <w:rPr>
          <w:rFonts w:hint="eastAsia" w:ascii="仿宋_GB2312" w:hAnsi="仿宋" w:eastAsia="仿宋_GB2312"/>
          <w:sz w:val="32"/>
          <w:szCs w:val="32"/>
        </w:rPr>
        <w:t>林业局负责全县林业及其生态建设的监督管理；组织、协调、指导和监督全县造林绿化工作、湿地保护工作、荒漠化防治工作、森林防火工作；负责管理全县森林资源的保护与发展，负责全县陆生野生动植物的保护管理及合理开发利用；承担推进全县林业改革，维护农民和其他经营者经营林业合法权益的责任；监督检查全县各产业对森林、生态旅游、湿地、荒漠和陆生野生动植物资源的开发利用；负责指导、协调全县的林业经济工作；承担县政府公布的有关行政审批事项。</w:t>
      </w:r>
    </w:p>
    <w:p>
      <w:pPr>
        <w:pStyle w:val="2"/>
        <w:pageBreakBefore w:val="0"/>
        <w:widowControl w:val="0"/>
        <w:kinsoku/>
        <w:wordWrap/>
        <w:overflowPunct/>
        <w:topLinePunct w:val="0"/>
        <w:autoSpaceDE/>
        <w:autoSpaceDN/>
        <w:bidi w:val="0"/>
        <w:adjustRightInd w:val="0"/>
        <w:snapToGrid w:val="0"/>
        <w:spacing w:beforeLines="0" w:line="560" w:lineRule="exact"/>
        <w:ind w:firstLine="643" w:firstLineChars="200"/>
        <w:textAlignment w:val="auto"/>
        <w:outlineLvl w:val="2"/>
        <w:rPr>
          <w:rFonts w:hint="default" w:ascii="Times New Roman" w:hAnsi="Times New Roman" w:eastAsia="楷体_GB2312" w:cs="Times New Roman"/>
          <w:b/>
          <w:bCs w:val="0"/>
          <w:color w:val="000000"/>
          <w:sz w:val="32"/>
          <w:szCs w:val="32"/>
        </w:rPr>
      </w:pPr>
      <w:r>
        <w:rPr>
          <w:rFonts w:hint="default" w:ascii="Times New Roman" w:hAnsi="Times New Roman" w:eastAsia="楷体_GB2312" w:cs="Times New Roman"/>
          <w:b/>
          <w:bCs w:val="0"/>
          <w:color w:val="000000"/>
          <w:sz w:val="32"/>
          <w:szCs w:val="32"/>
        </w:rPr>
        <w:t>（二）201</w:t>
      </w:r>
      <w:r>
        <w:rPr>
          <w:rFonts w:hint="eastAsia" w:ascii="Times New Roman" w:eastAsia="楷体_GB2312" w:cs="Times New Roman"/>
          <w:b/>
          <w:bCs w:val="0"/>
          <w:color w:val="000000"/>
          <w:sz w:val="32"/>
          <w:szCs w:val="32"/>
          <w:lang w:val="en-US" w:eastAsia="zh-CN"/>
        </w:rPr>
        <w:t>9</w:t>
      </w:r>
      <w:r>
        <w:rPr>
          <w:rFonts w:hint="default" w:ascii="Times New Roman" w:hAnsi="Times New Roman" w:eastAsia="楷体_GB2312" w:cs="Times New Roman"/>
          <w:b/>
          <w:bCs w:val="0"/>
          <w:color w:val="000000"/>
          <w:sz w:val="32"/>
          <w:szCs w:val="32"/>
        </w:rPr>
        <w:t>年重点工作完成情况。</w:t>
      </w:r>
      <w:bookmarkEnd w:id="15"/>
      <w:bookmarkEnd w:id="16"/>
    </w:p>
    <w:p>
      <w:pPr>
        <w:pStyle w:val="2"/>
        <w:pageBreakBefore w:val="0"/>
        <w:widowControl w:val="0"/>
        <w:kinsoku/>
        <w:wordWrap/>
        <w:overflowPunct/>
        <w:topLinePunct w:val="0"/>
        <w:autoSpaceDE/>
        <w:autoSpaceDN/>
        <w:bidi w:val="0"/>
        <w:adjustRightInd w:val="0"/>
        <w:snapToGrid w:val="0"/>
        <w:spacing w:beforeLines="0" w:line="560" w:lineRule="exact"/>
        <w:ind w:firstLine="640" w:firstLineChars="200"/>
        <w:textAlignment w:val="auto"/>
        <w:outlineLvl w:val="2"/>
        <w:rPr>
          <w:rFonts w:hint="default" w:ascii="Times New Roman" w:hAnsi="Times New Roman" w:eastAsia="仿宋_GB2312" w:cs="Times New Roman"/>
          <w:sz w:val="32"/>
          <w:szCs w:val="32"/>
          <w:shd w:val="clear" w:color="auto" w:fill="FFFFFF"/>
        </w:rPr>
      </w:pPr>
      <w:r>
        <w:rPr>
          <w:rFonts w:hint="eastAsia" w:ascii="仿宋" w:hAnsi="仿宋" w:eastAsia="仿宋"/>
          <w:bCs/>
          <w:color w:val="000000"/>
          <w:sz w:val="32"/>
          <w:szCs w:val="32"/>
          <w:lang w:val="en-US" w:eastAsia="zh-CN"/>
        </w:rPr>
        <w:t>2019</w:t>
      </w:r>
      <w:r>
        <w:rPr>
          <w:rFonts w:hint="eastAsia" w:ascii="仿宋" w:hAnsi="仿宋" w:eastAsia="仿宋"/>
          <w:bCs/>
          <w:color w:val="000000"/>
          <w:sz w:val="32"/>
          <w:szCs w:val="32"/>
        </w:rPr>
        <w:t>年重点工作完成情况。</w:t>
      </w:r>
      <w:r>
        <w:rPr>
          <w:rFonts w:hint="eastAsia" w:hAnsi="仿宋_GB2312" w:cs="仿宋_GB2312"/>
          <w:b w:val="0"/>
          <w:bCs/>
          <w:sz w:val="32"/>
          <w:szCs w:val="32"/>
          <w:lang w:val="en-US" w:eastAsia="zh-CN"/>
        </w:rPr>
        <w:t>2019</w:t>
      </w:r>
      <w:r>
        <w:rPr>
          <w:rFonts w:hint="eastAsia" w:ascii="仿宋_GB2312" w:hAnsi="仿宋_GB2312" w:eastAsia="仿宋_GB2312" w:cs="仿宋_GB2312"/>
          <w:b w:val="0"/>
          <w:bCs/>
          <w:sz w:val="32"/>
          <w:szCs w:val="32"/>
          <w:lang w:eastAsia="zh-CN"/>
        </w:rPr>
        <w:t>年，在县委、县政府的坚强领导下，紧扣“脱贫奔康先行县、特色产业重点县、乡村旅游示范县、开放合作引领县”的战略目标，以生态绿化、产业发展、精准扶贫等为重点，合力攻坚，大力发展林业特色产业、盘活林业资源、护好绿水青山，林业工作扎实纵深推进，圆满完成了林业各项工作任务。</w:t>
      </w:r>
    </w:p>
    <w:p>
      <w:pPr>
        <w:pStyle w:val="4"/>
        <w:pageBreakBefore w:val="0"/>
        <w:shd w:val="clear"/>
        <w:kinsoku/>
        <w:wordWrap/>
        <w:overflowPunct/>
        <w:topLinePunct w:val="0"/>
        <w:bidi w:val="0"/>
        <w:spacing w:before="0" w:line="560" w:lineRule="exact"/>
        <w:ind w:firstLine="640" w:firstLineChars="200"/>
        <w:rPr>
          <w:rFonts w:ascii="仿宋" w:hAnsi="仿宋" w:eastAsia="仿宋"/>
          <w:sz w:val="32"/>
          <w:szCs w:val="32"/>
        </w:rPr>
      </w:pPr>
      <w:bookmarkStart w:id="17" w:name="_Toc15396601"/>
      <w:bookmarkStart w:id="18" w:name="_Toc15377200"/>
      <w:r>
        <w:rPr>
          <w:rFonts w:hint="default" w:ascii="Times New Roman" w:hAnsi="Times New Roman" w:eastAsia="黑体" w:cs="Times New Roman"/>
          <w:b w:val="0"/>
          <w:color w:val="000000"/>
        </w:rPr>
        <w:t>二、机</w:t>
      </w:r>
      <w:r>
        <w:rPr>
          <w:rStyle w:val="16"/>
          <w:rFonts w:hint="default" w:ascii="Times New Roman" w:hAnsi="Times New Roman" w:eastAsia="黑体" w:cs="Times New Roman"/>
          <w:b w:val="0"/>
          <w:bCs w:val="0"/>
        </w:rPr>
        <w:t>构设置</w:t>
      </w:r>
      <w:bookmarkEnd w:id="17"/>
      <w:bookmarkEnd w:id="18"/>
      <w:bookmarkStart w:id="19" w:name="_Toc15396602"/>
      <w:bookmarkStart w:id="20" w:name="_Toc15377204"/>
    </w:p>
    <w:p>
      <w:pPr>
        <w:shd w:val="clear"/>
        <w:ind w:firstLine="800" w:firstLineChars="250"/>
        <w:rPr>
          <w:rFonts w:ascii="仿宋" w:hAnsi="仿宋" w:eastAsia="仿宋"/>
          <w:sz w:val="32"/>
          <w:szCs w:val="32"/>
          <w:highlight w:val="none"/>
        </w:rPr>
      </w:pPr>
      <w:r>
        <w:rPr>
          <w:rFonts w:hint="eastAsia" w:ascii="仿宋" w:hAnsi="仿宋" w:eastAsia="仿宋"/>
          <w:sz w:val="32"/>
          <w:szCs w:val="32"/>
          <w:highlight w:val="none"/>
          <w:lang w:val="en-US" w:eastAsia="zh-CN"/>
        </w:rPr>
        <w:t>林业局</w:t>
      </w:r>
      <w:r>
        <w:rPr>
          <w:rFonts w:hint="eastAsia" w:ascii="仿宋" w:hAnsi="仿宋" w:eastAsia="仿宋"/>
          <w:sz w:val="32"/>
          <w:szCs w:val="32"/>
          <w:highlight w:val="none"/>
        </w:rPr>
        <w:t>下属二级单位</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个，其中行政单位</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个，其他事业单位</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个。</w:t>
      </w:r>
    </w:p>
    <w:p>
      <w:pPr>
        <w:pStyle w:val="2"/>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highlight w:val="none"/>
        </w:rPr>
        <w:t>纳入</w:t>
      </w:r>
      <w:r>
        <w:rPr>
          <w:rFonts w:hint="eastAsia" w:ascii="仿宋" w:hAnsi="仿宋" w:eastAsia="仿宋"/>
          <w:sz w:val="32"/>
          <w:szCs w:val="32"/>
          <w:highlight w:val="none"/>
          <w:lang w:val="en-US" w:eastAsia="zh-CN"/>
        </w:rPr>
        <w:t>林业局</w:t>
      </w:r>
      <w:r>
        <w:rPr>
          <w:rFonts w:hint="eastAsia" w:ascii="仿宋" w:hAnsi="仿宋" w:eastAsia="仿宋"/>
          <w:color w:val="000000"/>
          <w:sz w:val="32"/>
          <w:szCs w:val="32"/>
          <w:highlight w:val="none"/>
        </w:rPr>
        <w:t>2</w:t>
      </w:r>
      <w:r>
        <w:rPr>
          <w:rFonts w:hint="eastAsia" w:ascii="仿宋" w:hAnsi="仿宋" w:eastAsia="仿宋"/>
          <w:color w:val="000000"/>
          <w:sz w:val="32"/>
          <w:szCs w:val="32"/>
        </w:rPr>
        <w:t>019年度部门决算编制范围的二级预算单位包括：</w:t>
      </w:r>
    </w:p>
    <w:p>
      <w:pPr>
        <w:pStyle w:val="2"/>
        <w:numPr>
          <w:ilvl w:val="0"/>
          <w:numId w:val="1"/>
        </w:numPr>
        <w:adjustRightInd w:val="0"/>
        <w:snapToGrid w:val="0"/>
        <w:spacing w:before="93" w:line="600" w:lineRule="exact"/>
        <w:outlineLvl w:val="2"/>
        <w:rPr>
          <w:rFonts w:ascii="仿宋" w:hAnsi="仿宋" w:eastAsia="仿宋"/>
          <w:color w:val="000000"/>
          <w:sz w:val="32"/>
          <w:szCs w:val="32"/>
        </w:rPr>
      </w:pPr>
      <w:bookmarkStart w:id="21" w:name="_Toc15377433"/>
      <w:bookmarkStart w:id="22" w:name="_Toc15306276"/>
      <w:bookmarkStart w:id="23" w:name="_Toc15378449"/>
      <w:bookmarkStart w:id="24" w:name="_Toc15377202"/>
      <w:r>
        <w:rPr>
          <w:rFonts w:hint="eastAsia" w:ascii="仿宋" w:hAnsi="仿宋" w:eastAsia="仿宋"/>
          <w:color w:val="000000"/>
          <w:sz w:val="32"/>
          <w:szCs w:val="32"/>
          <w:lang w:eastAsia="zh-CN"/>
        </w:rPr>
        <w:t>平昌县森林</w:t>
      </w:r>
      <w:bookmarkEnd w:id="21"/>
      <w:bookmarkEnd w:id="22"/>
      <w:bookmarkEnd w:id="23"/>
      <w:bookmarkEnd w:id="24"/>
      <w:r>
        <w:rPr>
          <w:rFonts w:hint="eastAsia" w:ascii="仿宋" w:hAnsi="仿宋" w:eastAsia="仿宋"/>
          <w:color w:val="000000"/>
          <w:sz w:val="32"/>
          <w:szCs w:val="32"/>
          <w:lang w:eastAsia="zh-CN"/>
        </w:rPr>
        <w:t>公安局（行政单位）</w:t>
      </w:r>
    </w:p>
    <w:p>
      <w:pPr>
        <w:pStyle w:val="2"/>
        <w:numPr>
          <w:ilvl w:val="0"/>
          <w:numId w:val="1"/>
        </w:numPr>
        <w:adjustRightInd w:val="0"/>
        <w:snapToGrid w:val="0"/>
        <w:spacing w:before="93" w:line="600" w:lineRule="exact"/>
        <w:outlineLvl w:val="2"/>
        <w:rPr>
          <w:rFonts w:hint="eastAsia" w:ascii="仿宋" w:hAnsi="仿宋" w:eastAsia="仿宋"/>
          <w:color w:val="000000"/>
          <w:sz w:val="32"/>
          <w:szCs w:val="32"/>
        </w:rPr>
      </w:pPr>
      <w:r>
        <w:rPr>
          <w:rFonts w:hint="eastAsia" w:ascii="仿宋" w:hAnsi="仿宋" w:eastAsia="仿宋"/>
          <w:color w:val="000000"/>
          <w:sz w:val="32"/>
          <w:szCs w:val="32"/>
          <w:lang w:eastAsia="zh-CN"/>
        </w:rPr>
        <w:t>国营平昌县苗圃</w:t>
      </w:r>
      <w:r>
        <w:rPr>
          <w:rFonts w:hint="eastAsia" w:ascii="仿宋" w:hAnsi="仿宋" w:eastAsia="仿宋"/>
          <w:color w:val="000000"/>
          <w:sz w:val="32"/>
          <w:szCs w:val="32"/>
          <w:lang w:val="en-US" w:eastAsia="zh-CN"/>
        </w:rPr>
        <w:t xml:space="preserve">  （事业单位）</w:t>
      </w:r>
    </w:p>
    <w:p>
      <w:pPr>
        <w:pStyle w:val="2"/>
        <w:adjustRightInd w:val="0"/>
        <w:snapToGrid w:val="0"/>
        <w:spacing w:before="93" w:line="600" w:lineRule="exact"/>
        <w:rPr>
          <w:rFonts w:hint="eastAsia" w:ascii="仿宋" w:hAnsi="仿宋" w:eastAsia="仿宋"/>
          <w:color w:val="000000"/>
          <w:sz w:val="32"/>
          <w:szCs w:val="32"/>
        </w:rPr>
      </w:pPr>
    </w:p>
    <w:p>
      <w:pPr>
        <w:pStyle w:val="3"/>
        <w:pageBreakBefore w:val="0"/>
        <w:kinsoku/>
        <w:wordWrap/>
        <w:overflowPunct/>
        <w:topLinePunct w:val="0"/>
        <w:bidi w:val="0"/>
        <w:spacing w:before="0" w:line="560" w:lineRule="exact"/>
        <w:ind w:right="440"/>
        <w:jc w:val="right"/>
        <w:rPr>
          <w:rFonts w:hint="default" w:ascii="Times New Roman" w:hAnsi="Times New Roman" w:cs="Times New Roman"/>
        </w:rPr>
      </w:pPr>
      <w:r>
        <w:rPr>
          <w:rFonts w:hint="default" w:ascii="Times New Roman" w:hAnsi="Times New Roman" w:eastAsia="黑体" w:cs="Times New Roman"/>
          <w:b w:val="0"/>
          <w:color w:val="000000"/>
        </w:rPr>
        <w:t>第二部分</w:t>
      </w:r>
      <w:r>
        <w:rPr>
          <w:rFonts w:hint="default" w:ascii="Times New Roman" w:hAnsi="Times New Roman" w:eastAsia="黑体" w:cs="Times New Roman"/>
          <w:color w:val="000000"/>
        </w:rPr>
        <w:t xml:space="preserve"> </w:t>
      </w:r>
      <w:r>
        <w:rPr>
          <w:rStyle w:val="15"/>
          <w:rFonts w:hint="default" w:ascii="Times New Roman" w:hAnsi="Times New Roman" w:eastAsia="黑体" w:cs="Times New Roman"/>
          <w:b w:val="0"/>
          <w:bCs w:val="0"/>
        </w:rPr>
        <w:t>201</w:t>
      </w:r>
      <w:r>
        <w:rPr>
          <w:rStyle w:val="15"/>
          <w:rFonts w:hint="eastAsia" w:eastAsia="黑体" w:cs="Times New Roman"/>
          <w:b w:val="0"/>
          <w:bCs w:val="0"/>
          <w:lang w:val="en-US" w:eastAsia="zh-CN"/>
        </w:rPr>
        <w:t>9</w:t>
      </w:r>
      <w:r>
        <w:rPr>
          <w:rStyle w:val="15"/>
          <w:rFonts w:hint="default" w:ascii="Times New Roman" w:hAnsi="Times New Roman" w:eastAsia="黑体" w:cs="Times New Roman"/>
          <w:b w:val="0"/>
          <w:bCs w:val="0"/>
        </w:rPr>
        <w:t>年度部门决算情况说明</w:t>
      </w:r>
      <w:bookmarkEnd w:id="19"/>
      <w:bookmarkEnd w:id="20"/>
    </w:p>
    <w:p>
      <w:pPr>
        <w:pStyle w:val="17"/>
        <w:pageBreakBefore w:val="0"/>
        <w:numPr>
          <w:ilvl w:val="0"/>
          <w:numId w:val="2"/>
        </w:numPr>
        <w:kinsoku/>
        <w:wordWrap/>
        <w:overflowPunct/>
        <w:topLinePunct w:val="0"/>
        <w:bidi w:val="0"/>
        <w:spacing w:line="560" w:lineRule="exact"/>
        <w:ind w:firstLineChars="0"/>
        <w:outlineLvl w:val="1"/>
        <w:rPr>
          <w:rStyle w:val="16"/>
          <w:rFonts w:hint="default" w:ascii="Times New Roman" w:hAnsi="Times New Roman" w:eastAsia="黑体" w:cs="Times New Roman"/>
          <w:b w:val="0"/>
        </w:rPr>
      </w:pPr>
      <w:bookmarkStart w:id="25" w:name="_Toc15396603"/>
      <w:bookmarkStart w:id="26" w:name="_Toc15377205"/>
      <w:r>
        <w:rPr>
          <w:rFonts w:hint="default" w:ascii="Times New Roman" w:hAnsi="Times New Roman" w:eastAsia="黑体" w:cs="Times New Roman"/>
          <w:color w:val="000000"/>
          <w:sz w:val="32"/>
          <w:szCs w:val="32"/>
        </w:rPr>
        <w:t>收</w:t>
      </w:r>
      <w:r>
        <w:rPr>
          <w:rStyle w:val="16"/>
          <w:rFonts w:hint="default" w:ascii="Times New Roman" w:hAnsi="Times New Roman" w:eastAsia="黑体" w:cs="Times New Roman"/>
          <w:b w:val="0"/>
        </w:rPr>
        <w:t>入支出决算总体情况说明</w:t>
      </w:r>
      <w:bookmarkEnd w:id="25"/>
      <w:bookmarkEnd w:id="26"/>
    </w:p>
    <w:p>
      <w:pPr>
        <w:spacing w:line="600" w:lineRule="exact"/>
        <w:ind w:firstLine="640" w:firstLineChars="200"/>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rPr>
        <w:t>201</w:t>
      </w:r>
      <w:r>
        <w:rPr>
          <w:rFonts w:hint="eastAsia" w:eastAsia="仿宋" w:cs="Times New Roman"/>
          <w:color w:val="000000"/>
          <w:sz w:val="32"/>
          <w:szCs w:val="32"/>
          <w:lang w:val="en-US" w:eastAsia="zh-CN"/>
        </w:rPr>
        <w:t>9</w:t>
      </w:r>
      <w:r>
        <w:rPr>
          <w:rFonts w:hint="default" w:ascii="Times New Roman" w:hAnsi="Times New Roman" w:eastAsia="仿宋" w:cs="Times New Roman"/>
          <w:color w:val="000000"/>
          <w:sz w:val="32"/>
          <w:szCs w:val="32"/>
        </w:rPr>
        <w:t>年度收、支总计</w:t>
      </w:r>
      <w:r>
        <w:rPr>
          <w:rFonts w:hint="eastAsia" w:eastAsia="仿宋" w:cs="Times New Roman"/>
          <w:color w:val="000000"/>
          <w:sz w:val="32"/>
          <w:szCs w:val="32"/>
          <w:lang w:eastAsia="zh-CN"/>
        </w:rPr>
        <w:t>各</w:t>
      </w:r>
      <w:r>
        <w:rPr>
          <w:rFonts w:hint="eastAsia" w:eastAsia="仿宋" w:cs="Times New Roman"/>
          <w:color w:val="000000"/>
          <w:sz w:val="32"/>
          <w:szCs w:val="32"/>
          <w:lang w:val="en-US" w:eastAsia="zh-CN"/>
        </w:rPr>
        <w:t xml:space="preserve"> 12222.60 </w:t>
      </w:r>
      <w:r>
        <w:rPr>
          <w:rFonts w:hint="default" w:ascii="Times New Roman" w:hAnsi="Times New Roman" w:eastAsia="仿宋" w:cs="Times New Roman"/>
          <w:color w:val="000000"/>
          <w:sz w:val="32"/>
          <w:szCs w:val="32"/>
        </w:rPr>
        <w:t>万元。与201</w:t>
      </w:r>
      <w:r>
        <w:rPr>
          <w:rFonts w:hint="eastAsia" w:eastAsia="仿宋" w:cs="Times New Roman"/>
          <w:color w:val="000000"/>
          <w:sz w:val="32"/>
          <w:szCs w:val="32"/>
          <w:lang w:val="en-US" w:eastAsia="zh-CN"/>
        </w:rPr>
        <w:t>8</w:t>
      </w:r>
      <w:r>
        <w:rPr>
          <w:rFonts w:hint="default" w:ascii="Times New Roman" w:hAnsi="Times New Roman" w:eastAsia="仿宋" w:cs="Times New Roman"/>
          <w:color w:val="000000"/>
          <w:sz w:val="32"/>
          <w:szCs w:val="32"/>
        </w:rPr>
        <w:t>年相比，收、支总计各</w:t>
      </w:r>
      <w:r>
        <w:rPr>
          <w:rFonts w:hint="default" w:ascii="Times New Roman" w:hAnsi="Times New Roman" w:eastAsia="仿宋" w:cs="Times New Roman"/>
          <w:color w:val="000000"/>
          <w:sz w:val="32"/>
          <w:szCs w:val="32"/>
          <w:highlight w:val="none"/>
        </w:rPr>
        <w:t>增加</w:t>
      </w:r>
      <w:r>
        <w:rPr>
          <w:rFonts w:hint="eastAsia" w:eastAsia="仿宋" w:cs="Times New Roman"/>
          <w:color w:val="000000"/>
          <w:sz w:val="32"/>
          <w:szCs w:val="32"/>
          <w:highlight w:val="none"/>
          <w:lang w:val="en-US" w:eastAsia="zh-CN"/>
        </w:rPr>
        <w:t xml:space="preserve"> 360.27 </w:t>
      </w:r>
      <w:r>
        <w:rPr>
          <w:rFonts w:hint="default" w:ascii="Times New Roman" w:hAnsi="Times New Roman" w:eastAsia="仿宋" w:cs="Times New Roman"/>
          <w:color w:val="000000"/>
          <w:sz w:val="32"/>
          <w:szCs w:val="32"/>
          <w:highlight w:val="none"/>
        </w:rPr>
        <w:t>万元，增长</w:t>
      </w:r>
      <w:r>
        <w:rPr>
          <w:rFonts w:hint="eastAsia" w:eastAsia="仿宋" w:cs="Times New Roman"/>
          <w:color w:val="000000"/>
          <w:sz w:val="32"/>
          <w:szCs w:val="32"/>
          <w:highlight w:val="none"/>
          <w:lang w:val="en-US" w:eastAsia="zh-CN"/>
        </w:rPr>
        <w:t>3.04%</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highlight w:val="none"/>
        </w:rPr>
        <w:t>主要变动原因</w:t>
      </w:r>
      <w:r>
        <w:rPr>
          <w:rFonts w:hint="default" w:ascii="Times New Roman" w:hAnsi="Times New Roman" w:eastAsia="仿宋" w:cs="Times New Roman"/>
          <w:color w:val="000000"/>
          <w:sz w:val="32"/>
          <w:szCs w:val="32"/>
          <w:lang w:eastAsia="zh-CN"/>
        </w:rPr>
        <w:t>：</w:t>
      </w:r>
      <w:r>
        <w:rPr>
          <w:rFonts w:hint="eastAsia" w:ascii="仿宋_GB2312" w:eastAsia="仿宋_GB2312"/>
          <w:color w:val="000000"/>
          <w:sz w:val="32"/>
          <w:szCs w:val="32"/>
          <w:lang w:val="en-US" w:eastAsia="zh-CN"/>
        </w:rPr>
        <w:t>一是2019年中央转移支付增加。二是省及县绩效考核增加。三是人员工资的调资。</w:t>
      </w:r>
    </w:p>
    <w:p>
      <w:pPr>
        <w:pStyle w:val="17"/>
        <w:pageBreakBefore w:val="0"/>
        <w:numPr>
          <w:ilvl w:val="0"/>
          <w:numId w:val="0"/>
        </w:numPr>
        <w:kinsoku/>
        <w:wordWrap/>
        <w:overflowPunct/>
        <w:topLinePunct w:val="0"/>
        <w:bidi w:val="0"/>
        <w:spacing w:line="560" w:lineRule="exact"/>
        <w:ind w:firstLine="320" w:firstLineChars="100"/>
        <w:outlineLvl w:val="1"/>
        <w:rPr>
          <w:rStyle w:val="16"/>
          <w:rFonts w:hint="default" w:ascii="Times New Roman" w:hAnsi="Times New Roman" w:eastAsia="黑体" w:cs="Times New Roman"/>
          <w:b w:val="0"/>
        </w:rPr>
      </w:pPr>
      <w:bookmarkStart w:id="27" w:name="_Toc15396604"/>
      <w:bookmarkStart w:id="28" w:name="_Toc15377206"/>
      <w:r>
        <w:rPr>
          <w:rFonts w:hint="eastAsia" w:eastAsia="黑体" w:cs="Times New Roman"/>
          <w:color w:val="000000"/>
          <w:sz w:val="32"/>
          <w:szCs w:val="32"/>
          <w:lang w:eastAsia="zh-CN"/>
        </w:rPr>
        <w:t>二、</w:t>
      </w:r>
      <w:r>
        <w:rPr>
          <w:rFonts w:hint="default" w:ascii="Times New Roman" w:hAnsi="Times New Roman" w:eastAsia="黑体" w:cs="Times New Roman"/>
          <w:color w:val="000000"/>
          <w:sz w:val="32"/>
          <w:szCs w:val="32"/>
        </w:rPr>
        <w:t>收</w:t>
      </w:r>
      <w:r>
        <w:rPr>
          <w:rStyle w:val="16"/>
          <w:rFonts w:hint="default" w:ascii="Times New Roman" w:hAnsi="Times New Roman" w:eastAsia="黑体" w:cs="Times New Roman"/>
          <w:b w:val="0"/>
        </w:rPr>
        <w:t>入决算情况说明</w:t>
      </w:r>
      <w:bookmarkEnd w:id="27"/>
      <w:bookmarkEnd w:id="28"/>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12222.60</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11082.60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90.67</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1140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9.33</w:t>
      </w:r>
      <w:r>
        <w:rPr>
          <w:rFonts w:ascii="仿宋" w:hAnsi="仿宋" w:eastAsia="仿宋"/>
          <w:color w:val="000000"/>
          <w:sz w:val="32"/>
          <w:szCs w:val="32"/>
        </w:rPr>
        <w:t>%</w:t>
      </w:r>
      <w:r>
        <w:rPr>
          <w:rFonts w:hint="eastAsia" w:ascii="仿宋" w:hAnsi="仿宋" w:eastAsia="仿宋"/>
          <w:color w:val="000000"/>
          <w:sz w:val="32"/>
          <w:szCs w:val="32"/>
        </w:rPr>
        <w:t>；</w:t>
      </w:r>
    </w:p>
    <w:p>
      <w:r>
        <w:drawing>
          <wp:inline distT="0" distB="0" distL="114300" distR="114300">
            <wp:extent cx="4451350" cy="2641600"/>
            <wp:effectExtent l="0" t="0" r="6350" b="44450"/>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
      <w:pPr>
        <w:pStyle w:val="17"/>
        <w:pageBreakBefore w:val="0"/>
        <w:numPr>
          <w:ilvl w:val="0"/>
          <w:numId w:val="0"/>
        </w:numPr>
        <w:kinsoku/>
        <w:wordWrap/>
        <w:overflowPunct/>
        <w:topLinePunct w:val="0"/>
        <w:bidi w:val="0"/>
        <w:spacing w:line="560" w:lineRule="exact"/>
        <w:ind w:left="640" w:leftChars="0"/>
        <w:outlineLvl w:val="1"/>
        <w:rPr>
          <w:rStyle w:val="16"/>
          <w:rFonts w:hint="default" w:ascii="Times New Roman" w:hAnsi="Times New Roman" w:eastAsia="黑体" w:cs="Times New Roman"/>
          <w:b w:val="0"/>
        </w:rPr>
      </w:pPr>
      <w:r>
        <w:rPr>
          <w:rFonts w:hint="eastAsia" w:eastAsia="黑体" w:cs="Times New Roman"/>
          <w:color w:val="000000"/>
          <w:sz w:val="32"/>
          <w:szCs w:val="32"/>
          <w:lang w:eastAsia="zh-CN"/>
        </w:rPr>
        <w:t>三、</w:t>
      </w:r>
      <w:r>
        <w:rPr>
          <w:rFonts w:hint="default" w:ascii="Times New Roman" w:hAnsi="Times New Roman" w:eastAsia="黑体" w:cs="Times New Roman"/>
          <w:color w:val="000000"/>
          <w:sz w:val="32"/>
          <w:szCs w:val="32"/>
        </w:rPr>
        <w:t>支</w:t>
      </w:r>
      <w:r>
        <w:rPr>
          <w:rStyle w:val="16"/>
          <w:rFonts w:hint="default" w:ascii="Times New Roman" w:hAnsi="Times New Roman" w:eastAsia="黑体" w:cs="Times New Roman"/>
          <w:b w:val="0"/>
        </w:rPr>
        <w:t>出决算情况说明</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12222.60</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1825.94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14.94</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10396.66</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85.06%</w:t>
      </w:r>
      <w:r>
        <w:rPr>
          <w:rFonts w:hint="eastAsia" w:ascii="仿宋" w:hAnsi="仿宋" w:eastAsia="仿宋"/>
          <w:color w:val="000000"/>
          <w:sz w:val="32"/>
          <w:szCs w:val="32"/>
        </w:rPr>
        <w:t>。</w:t>
      </w:r>
    </w:p>
    <w:p/>
    <w:p>
      <w:pPr>
        <w:pageBreakBefore w:val="0"/>
        <w:kinsoku/>
        <w:wordWrap/>
        <w:overflowPunct/>
        <w:topLinePunct w:val="0"/>
        <w:bidi w:val="0"/>
        <w:spacing w:line="560" w:lineRule="exact"/>
        <w:ind w:firstLine="640" w:firstLineChars="200"/>
        <w:outlineLvl w:val="1"/>
        <w:rPr>
          <w:rStyle w:val="16"/>
          <w:rFonts w:hint="default" w:ascii="Times New Roman" w:hAnsi="Times New Roman" w:eastAsia="黑体" w:cs="Times New Roman"/>
          <w:b w:val="0"/>
        </w:rPr>
      </w:pPr>
      <w:r>
        <w:rPr>
          <w:rFonts w:hint="default" w:ascii="Times New Roman" w:hAnsi="Times New Roman" w:eastAsia="黑体" w:cs="Times New Roman"/>
          <w:color w:val="000000"/>
          <w:sz w:val="32"/>
          <w:szCs w:val="32"/>
        </w:rPr>
        <w:t>四、财</w:t>
      </w:r>
      <w:r>
        <w:rPr>
          <w:rStyle w:val="16"/>
          <w:rFonts w:hint="default" w:ascii="Times New Roman" w:hAnsi="Times New Roman" w:eastAsia="黑体" w:cs="Times New Roman"/>
          <w:b w:val="0"/>
        </w:rPr>
        <w:t>政拨款收入支出决算总体情况说明</w:t>
      </w:r>
    </w:p>
    <w:p>
      <w:pPr>
        <w:spacing w:line="600" w:lineRule="exact"/>
        <w:ind w:firstLine="640"/>
        <w:rPr>
          <w:rFonts w:hint="default"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eastAsia="zh-CN"/>
        </w:rPr>
        <w:t>各</w:t>
      </w:r>
      <w:r>
        <w:rPr>
          <w:rFonts w:hint="eastAsia" w:ascii="仿宋" w:hAnsi="仿宋" w:eastAsia="仿宋"/>
          <w:color w:val="000000"/>
          <w:sz w:val="32"/>
          <w:szCs w:val="32"/>
          <w:lang w:val="en-US" w:eastAsia="zh-CN"/>
        </w:rPr>
        <w:t>12222.60</w:t>
      </w:r>
      <w:r>
        <w:rPr>
          <w:rFonts w:hint="eastAsia" w:ascii="仿宋" w:hAnsi="仿宋" w:eastAsia="仿宋"/>
          <w:color w:val="000000"/>
          <w:sz w:val="32"/>
          <w:szCs w:val="32"/>
        </w:rPr>
        <w:t>万元。与2018年相比，财政拨款收、支总计各</w:t>
      </w:r>
      <w:r>
        <w:rPr>
          <w:rFonts w:hint="default" w:ascii="仿宋" w:hAnsi="仿宋" w:eastAsia="仿宋"/>
          <w:color w:val="000000"/>
          <w:sz w:val="32"/>
          <w:szCs w:val="32"/>
        </w:rPr>
        <w:t>增加</w:t>
      </w:r>
      <w:r>
        <w:rPr>
          <w:rFonts w:hint="eastAsia" w:ascii="仿宋" w:hAnsi="仿宋" w:eastAsia="仿宋"/>
          <w:color w:val="000000"/>
          <w:sz w:val="32"/>
          <w:szCs w:val="32"/>
          <w:lang w:val="en-US" w:eastAsia="zh-CN"/>
        </w:rPr>
        <w:t>360.27</w:t>
      </w:r>
      <w:r>
        <w:rPr>
          <w:rFonts w:hint="default" w:ascii="仿宋" w:hAnsi="仿宋" w:eastAsia="仿宋"/>
          <w:color w:val="000000"/>
          <w:sz w:val="32"/>
          <w:szCs w:val="32"/>
        </w:rPr>
        <w:t>万元，增长</w:t>
      </w:r>
      <w:r>
        <w:rPr>
          <w:rFonts w:hint="eastAsia" w:ascii="仿宋" w:hAnsi="仿宋" w:eastAsia="仿宋"/>
          <w:color w:val="000000"/>
          <w:sz w:val="32"/>
          <w:szCs w:val="32"/>
          <w:lang w:val="en-US" w:eastAsia="zh-CN"/>
        </w:rPr>
        <w:t>3.04</w:t>
      </w:r>
      <w:r>
        <w:rPr>
          <w:rFonts w:hint="default"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:一是2019年中央转移支付增加。二是省及县绩效考核增加。三是人员工资的调资</w:t>
      </w:r>
      <w:r>
        <w:rPr>
          <w:rFonts w:hint="eastAsia" w:ascii="仿宋" w:hAnsi="仿宋" w:eastAsia="仿宋"/>
          <w:color w:val="000000"/>
          <w:sz w:val="32"/>
          <w:szCs w:val="32"/>
        </w:rPr>
        <w:t>。</w:t>
      </w:r>
    </w:p>
    <w:p>
      <w:r>
        <w:drawing>
          <wp:inline distT="0" distB="0" distL="114300" distR="114300">
            <wp:extent cx="4686300" cy="3000375"/>
            <wp:effectExtent l="4445" t="5080" r="14605" b="80645"/>
            <wp:docPr id="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outlineLvl w:val="1"/>
        <w:rPr>
          <w:rStyle w:val="16"/>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6"/>
          <w:rFonts w:hint="eastAsia" w:ascii="黑体" w:hAnsi="黑体" w:eastAsia="黑体"/>
          <w:b w:val="0"/>
        </w:rPr>
        <w:t>般公共预算财政拨款支出决算情况说明</w:t>
      </w:r>
    </w:p>
    <w:p>
      <w:pPr>
        <w:spacing w:line="600" w:lineRule="exact"/>
        <w:ind w:firstLine="643" w:firstLineChars="200"/>
        <w:outlineLvl w:val="2"/>
        <w:rPr>
          <w:rFonts w:ascii="仿宋" w:hAnsi="仿宋" w:eastAsia="仿宋"/>
          <w:b/>
          <w:color w:val="000000"/>
          <w:sz w:val="32"/>
          <w:szCs w:val="32"/>
        </w:rPr>
      </w:pPr>
      <w:bookmarkStart w:id="29" w:name="_Toc15377210"/>
      <w:r>
        <w:rPr>
          <w:rFonts w:hint="eastAsia" w:ascii="仿宋" w:hAnsi="仿宋" w:eastAsia="仿宋"/>
          <w:b/>
          <w:color w:val="000000"/>
          <w:sz w:val="32"/>
          <w:szCs w:val="32"/>
        </w:rPr>
        <w:t>（一）一般公共预算财政拨款支出决算总体情况</w:t>
      </w:r>
      <w:bookmarkEnd w:id="29"/>
    </w:p>
    <w:p>
      <w:pPr>
        <w:spacing w:line="600" w:lineRule="exact"/>
        <w:ind w:firstLine="640" w:firstLineChars="200"/>
        <w:rPr>
          <w:rFonts w:hint="default"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11082.60</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90.67</w:t>
      </w:r>
      <w:r>
        <w:rPr>
          <w:rFonts w:hint="eastAsia" w:ascii="仿宋" w:hAnsi="仿宋" w:eastAsia="仿宋"/>
          <w:color w:val="000000"/>
          <w:sz w:val="32"/>
          <w:szCs w:val="32"/>
        </w:rPr>
        <w:t>%。与2018年相比，一般公共预算财政拨款</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230.73</w:t>
      </w:r>
      <w:r>
        <w:rPr>
          <w:rFonts w:hint="default" w:ascii="仿宋" w:hAnsi="仿宋" w:eastAsia="仿宋"/>
          <w:color w:val="000000"/>
          <w:sz w:val="32"/>
          <w:szCs w:val="32"/>
        </w:rPr>
        <w:t>万元，</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1.81</w:t>
      </w:r>
      <w:r>
        <w:rPr>
          <w:rFonts w:hint="default"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:项目资金支出减少，退休人员增加。</w:t>
      </w:r>
    </w:p>
    <w:p>
      <w:r>
        <w:drawing>
          <wp:inline distT="0" distB="0" distL="114300" distR="114300">
            <wp:extent cx="4572000" cy="2743200"/>
            <wp:effectExtent l="4445" t="4445" r="14605" b="7175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3" w:firstLineChars="200"/>
        <w:outlineLvl w:val="2"/>
        <w:rPr>
          <w:rFonts w:ascii="仿宋" w:hAnsi="仿宋" w:eastAsia="仿宋"/>
          <w:b/>
          <w:color w:val="000000"/>
          <w:sz w:val="32"/>
          <w:szCs w:val="32"/>
        </w:rPr>
      </w:pPr>
      <w:bookmarkStart w:id="30" w:name="_Toc15377211"/>
      <w:r>
        <w:rPr>
          <w:rFonts w:hint="eastAsia" w:ascii="仿宋" w:hAnsi="仿宋" w:eastAsia="仿宋"/>
          <w:b/>
          <w:color w:val="000000"/>
          <w:sz w:val="32"/>
          <w:szCs w:val="32"/>
        </w:rPr>
        <w:t>（二）一般公共预算财政拨款支出决算结构情况</w:t>
      </w:r>
      <w:bookmarkEnd w:id="30"/>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 xml:space="preserve"> 11082.60</w:t>
      </w:r>
      <w:r>
        <w:rPr>
          <w:rFonts w:hint="eastAsia" w:ascii="仿宋" w:hAnsi="仿宋" w:eastAsia="仿宋"/>
          <w:color w:val="000000" w:themeColor="text1"/>
          <w:sz w:val="32"/>
          <w:szCs w:val="32"/>
          <w14:textFill>
            <w14:solidFill>
              <w14:schemeClr w14:val="tx1"/>
            </w14:solidFill>
          </w14:textFill>
        </w:rPr>
        <w:t>万元，主要用于以下方</w:t>
      </w:r>
      <w:r>
        <w:rPr>
          <w:rFonts w:hint="eastAsia" w:ascii="仿宋" w:hAnsi="仿宋" w:eastAsia="仿宋"/>
          <w:color w:val="000000"/>
          <w:sz w:val="32"/>
          <w:szCs w:val="32"/>
        </w:rPr>
        <w:t>面:</w:t>
      </w:r>
      <w:r>
        <w:rPr>
          <w:rFonts w:hint="eastAsia" w:ascii="仿宋" w:hAnsi="仿宋" w:eastAsia="仿宋"/>
          <w:color w:val="000000"/>
          <w:sz w:val="32"/>
          <w:szCs w:val="32"/>
          <w:lang w:eastAsia="zh-CN"/>
        </w:rPr>
        <w:t>社会和保障就业支出</w:t>
      </w:r>
      <w:r>
        <w:rPr>
          <w:rFonts w:hint="eastAsia" w:ascii="仿宋" w:hAnsi="仿宋" w:eastAsia="仿宋"/>
          <w:color w:val="000000"/>
          <w:sz w:val="32"/>
          <w:szCs w:val="32"/>
        </w:rPr>
        <w:t>（类）支出</w:t>
      </w:r>
      <w:r>
        <w:rPr>
          <w:rFonts w:hint="eastAsia" w:ascii="仿宋" w:hAnsi="仿宋" w:eastAsia="仿宋"/>
          <w:color w:val="000000"/>
          <w:sz w:val="32"/>
          <w:szCs w:val="32"/>
          <w:lang w:val="en-US" w:eastAsia="zh-CN"/>
        </w:rPr>
        <w:t>221.39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w:t>
      </w:r>
      <w:r>
        <w:rPr>
          <w:rFonts w:hint="eastAsia" w:ascii="仿宋" w:hAnsi="仿宋" w:eastAsia="仿宋"/>
          <w:color w:val="000000"/>
          <w:sz w:val="32"/>
          <w:szCs w:val="32"/>
          <w:lang w:eastAsia="zh-CN"/>
        </w:rPr>
        <w:t>卫生健康</w:t>
      </w:r>
      <w:r>
        <w:rPr>
          <w:rFonts w:hint="eastAsia" w:ascii="仿宋" w:hAnsi="仿宋" w:eastAsia="仿宋"/>
          <w:color w:val="000000"/>
          <w:sz w:val="32"/>
          <w:szCs w:val="32"/>
        </w:rPr>
        <w:t>（类）</w:t>
      </w:r>
      <w:r>
        <w:rPr>
          <w:rFonts w:hint="eastAsia" w:ascii="仿宋" w:hAnsi="仿宋" w:eastAsia="仿宋"/>
          <w:color w:val="000000"/>
          <w:sz w:val="32"/>
          <w:szCs w:val="32"/>
          <w:lang w:eastAsia="zh-CN"/>
        </w:rPr>
        <w:t>支出</w:t>
      </w:r>
      <w:r>
        <w:rPr>
          <w:rFonts w:hint="eastAsia" w:ascii="仿宋" w:hAnsi="仿宋" w:eastAsia="仿宋"/>
          <w:color w:val="000000"/>
          <w:sz w:val="32"/>
          <w:szCs w:val="32"/>
          <w:lang w:val="en-US" w:eastAsia="zh-CN"/>
        </w:rPr>
        <w:t>97.31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0.88</w:t>
      </w:r>
      <w:r>
        <w:rPr>
          <w:rFonts w:hint="eastAsia" w:ascii="仿宋" w:hAnsi="仿宋" w:eastAsia="仿宋"/>
          <w:color w:val="000000"/>
          <w:sz w:val="32"/>
          <w:szCs w:val="32"/>
        </w:rPr>
        <w:t>%；</w:t>
      </w:r>
      <w:r>
        <w:rPr>
          <w:rFonts w:hint="eastAsia" w:ascii="仿宋" w:hAnsi="仿宋" w:eastAsia="仿宋"/>
          <w:color w:val="000000"/>
          <w:sz w:val="32"/>
          <w:szCs w:val="32"/>
          <w:lang w:eastAsia="zh-CN"/>
        </w:rPr>
        <w:t>节能环保</w:t>
      </w:r>
      <w:r>
        <w:rPr>
          <w:rFonts w:hint="eastAsia" w:ascii="仿宋" w:hAnsi="仿宋" w:eastAsia="仿宋"/>
          <w:color w:val="000000"/>
          <w:sz w:val="32"/>
          <w:szCs w:val="32"/>
        </w:rPr>
        <w:t>（类）支出</w:t>
      </w:r>
      <w:r>
        <w:rPr>
          <w:rFonts w:hint="eastAsia" w:ascii="仿宋" w:hAnsi="仿宋" w:eastAsia="仿宋"/>
          <w:color w:val="000000"/>
          <w:sz w:val="32"/>
          <w:szCs w:val="32"/>
          <w:lang w:val="en-US" w:eastAsia="zh-CN"/>
        </w:rPr>
        <w:t>4610.4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41.60</w:t>
      </w:r>
      <w:r>
        <w:rPr>
          <w:rFonts w:hint="eastAsia" w:ascii="仿宋" w:hAnsi="仿宋" w:eastAsia="仿宋"/>
          <w:color w:val="000000"/>
          <w:sz w:val="32"/>
          <w:szCs w:val="32"/>
        </w:rPr>
        <w:t>%；</w:t>
      </w:r>
      <w:r>
        <w:rPr>
          <w:rFonts w:hint="eastAsia" w:ascii="仿宋" w:hAnsi="仿宋" w:eastAsia="仿宋"/>
          <w:color w:val="000000"/>
          <w:sz w:val="32"/>
          <w:szCs w:val="32"/>
          <w:lang w:eastAsia="zh-CN"/>
        </w:rPr>
        <w:t>农林水</w:t>
      </w:r>
      <w:r>
        <w:rPr>
          <w:rFonts w:hint="eastAsia" w:ascii="仿宋" w:hAnsi="仿宋" w:eastAsia="仿宋"/>
          <w:color w:val="000000"/>
          <w:sz w:val="32"/>
          <w:szCs w:val="32"/>
        </w:rPr>
        <w:t>（类）支出</w:t>
      </w:r>
      <w:r>
        <w:rPr>
          <w:rFonts w:hint="eastAsia" w:ascii="仿宋" w:hAnsi="仿宋" w:eastAsia="仿宋"/>
          <w:color w:val="000000"/>
          <w:sz w:val="32"/>
          <w:szCs w:val="32"/>
          <w:lang w:val="en-US" w:eastAsia="zh-CN"/>
        </w:rPr>
        <w:t>6153.50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55.52</w:t>
      </w:r>
      <w:r>
        <w:rPr>
          <w:rFonts w:hint="eastAsia" w:ascii="仿宋" w:hAnsi="仿宋" w:eastAsia="仿宋"/>
          <w:color w:val="000000"/>
          <w:sz w:val="32"/>
          <w:szCs w:val="32"/>
        </w:rPr>
        <w:t>%。</w:t>
      </w:r>
    </w:p>
    <w:p>
      <w:r>
        <w:drawing>
          <wp:inline distT="0" distB="0" distL="114300" distR="114300">
            <wp:extent cx="4470400" cy="2447290"/>
            <wp:effectExtent l="0" t="0" r="6350" b="48260"/>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（三）一般公共预算财政拨款支出决算具体情况</w:t>
      </w:r>
    </w:p>
    <w:p>
      <w:pPr>
        <w:spacing w:line="600" w:lineRule="exact"/>
        <w:ind w:firstLine="640"/>
        <w:rPr>
          <w:rFonts w:hint="eastAsia" w:ascii="仿宋" w:hAnsi="仿宋" w:eastAsia="仿宋"/>
          <w:color w:val="000000"/>
          <w:sz w:val="32"/>
          <w:szCs w:val="32"/>
          <w:lang w:val="en-US" w:eastAsia="zh-CN"/>
        </w:rPr>
      </w:pPr>
      <w:bookmarkStart w:id="31" w:name="_Toc15378460"/>
      <w:bookmarkStart w:id="32" w:name="_Toc15377444"/>
      <w:bookmarkStart w:id="33" w:name="_Toc15377213"/>
      <w:r>
        <w:rPr>
          <w:rFonts w:hint="eastAsia" w:ascii="仿宋" w:hAnsi="仿宋" w:eastAsia="仿宋"/>
          <w:color w:val="000000"/>
          <w:sz w:val="32"/>
          <w:szCs w:val="32"/>
          <w:lang w:val="en-US" w:eastAsia="zh-CN"/>
        </w:rPr>
        <w:t>2019年一般公共预算支出决算数为11082.60万元，完成预算100%。其中：</w:t>
      </w:r>
      <w:bookmarkEnd w:id="31"/>
      <w:bookmarkEnd w:id="32"/>
      <w:bookmarkEnd w:id="33"/>
    </w:p>
    <w:p>
      <w:pPr>
        <w:spacing w:line="600" w:lineRule="exact"/>
        <w:ind w:firstLine="64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1.社会保障和就业（类）行政事业单位离退休（款）  机关事业单位基本养老保险缴费支出（项）: 支出决算为160.63万元，完成预算100%。</w:t>
      </w:r>
    </w:p>
    <w:p>
      <w:pPr>
        <w:spacing w:line="600" w:lineRule="exact"/>
        <w:ind w:firstLine="64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2.社会保障和就业（类）行政事业单位离退休（款）  机关事业单位职业年金缴费支出（项）: 支出决算为21.26万元，完成预算100%。</w:t>
      </w:r>
    </w:p>
    <w:p>
      <w:pPr>
        <w:spacing w:line="600" w:lineRule="exact"/>
        <w:ind w:firstLine="64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3、社会保障和就业（类）行政事业单位离退休（款）    其他行政事业单位离退休支出（项）:支出决算为26.33万元，完成预算100%。</w:t>
      </w:r>
    </w:p>
    <w:p>
      <w:pPr>
        <w:spacing w:line="600" w:lineRule="exact"/>
        <w:ind w:firstLine="64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4、社会保障和就业（类）财政对其他社会保险基金的补助（款）财政对失业保险基金的补助（项）:：支出决算数为10.73万元，完成预算100%。</w:t>
      </w:r>
    </w:p>
    <w:p>
      <w:pPr>
        <w:spacing w:line="600" w:lineRule="exact"/>
        <w:ind w:firstLine="64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5、社会保障和就业（类）财政对其他社会保险基金的补助（款）财政对工伤保险基金的补助（项）:支出决算数为0.32万元，完成预算100%。</w:t>
      </w:r>
    </w:p>
    <w:p>
      <w:pPr>
        <w:spacing w:line="600" w:lineRule="exact"/>
        <w:ind w:firstLine="64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6、社会保障和就业（类）财政对其他社会保险基金的补助（款）财政对生育保险基金的补助（项）:支出决算数为2.12万元，完成预算100%。</w:t>
      </w:r>
    </w:p>
    <w:p>
      <w:pPr>
        <w:spacing w:line="600" w:lineRule="exact"/>
        <w:ind w:firstLine="64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7、卫生健康支出（类）行政事业单位医疗（款）行政单位医疗（项）:支出决算数为26.13万元，完成预算100%。</w:t>
      </w:r>
    </w:p>
    <w:p>
      <w:pPr>
        <w:spacing w:line="600" w:lineRule="exact"/>
        <w:ind w:firstLine="64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8、卫生健康支出（类）行政事业单位医疗（款）事业单位医疗（项）:支出决算数为65.12万元，完成预算100%。</w:t>
      </w:r>
    </w:p>
    <w:p>
      <w:pPr>
        <w:spacing w:line="600" w:lineRule="exact"/>
        <w:ind w:firstLine="64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9、卫生健康支出（类）行政事业单位医疗（款）公务员医疗补助（项）:支出决算数为6.06万元，完成预算100%。</w:t>
      </w:r>
    </w:p>
    <w:p>
      <w:pPr>
        <w:spacing w:line="600" w:lineRule="exact"/>
        <w:ind w:firstLine="64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10、节能环保支出（类）天然林保护（款）社会保险补助（项）:支出决算数为238.4万元，完成预算100%。</w:t>
      </w:r>
    </w:p>
    <w:p>
      <w:pPr>
        <w:pStyle w:val="2"/>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11、节能环保支出（类）退耕还林（款）退耕现金（项）:支出决算数为3572万元，完成预算100%。</w:t>
      </w:r>
    </w:p>
    <w:p>
      <w:pPr>
        <w:pStyle w:val="2"/>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12、节能环保支出（类）退耕还林（款）退耕还林工程建设（项）:支出决算数为800万元，完成预算100%。</w:t>
      </w:r>
    </w:p>
    <w:p>
      <w:pPr>
        <w:pStyle w:val="2"/>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13、农林水支出（类）林业和草原（款）行政运行（项）:支出决算数为734万元，完成预算100%。</w:t>
      </w:r>
    </w:p>
    <w:p>
      <w:pPr>
        <w:pStyle w:val="2"/>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14、农林水支出（类）林业和草原（款）一般行政管理事务（项）:支出决算数为50万元，完成预算100%。</w:t>
      </w:r>
    </w:p>
    <w:p>
      <w:pPr>
        <w:pStyle w:val="2"/>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15、农林水支出（类）林业和草原（款） 事业机构（项）:支出决算数为762.92万元，完成预算100%。</w:t>
      </w:r>
    </w:p>
    <w:p>
      <w:pPr>
        <w:pStyle w:val="2"/>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16、农林水支出（类）林业和草原（款）森林培育（项）:支出决算数为2142.86万元，完成预算100%。</w:t>
      </w:r>
    </w:p>
    <w:p>
      <w:pPr>
        <w:pStyle w:val="2"/>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17、农林水支出（类）林业和草原（款）森林资源管理（项）:支出决算数为1090.40万元，完成预算100%。</w:t>
      </w:r>
    </w:p>
    <w:p>
      <w:pPr>
        <w:pStyle w:val="2"/>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18、农林水支出（类）林业和草原（款）森林生态效益补偿（项）:支出决算数为72.61万元，完成预算100%。</w:t>
      </w:r>
    </w:p>
    <w:p>
      <w:pPr>
        <w:pStyle w:val="2"/>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19、农林水支出（类）林业和草原（款）自然保护区等管理（项）:支出决算数为140万元，完成预算100%。</w:t>
      </w:r>
    </w:p>
    <w:p>
      <w:pPr>
        <w:pStyle w:val="2"/>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20、农林水支出（类）林业和草原（款） 执法与监督（项）:支出决算数为29.80万元，完成预算100%。</w:t>
      </w:r>
    </w:p>
    <w:p>
      <w:pPr>
        <w:pStyle w:val="2"/>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21、农林水支出（类）林业和草原（款） 防灾减灾（项）:支出决算数为86万元，完成预算100%。</w:t>
      </w:r>
    </w:p>
    <w:p>
      <w:pPr>
        <w:pStyle w:val="2"/>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22、农林水支出（类）扶贫（款）其他扶贫支出（项）:支出决算数为1044.91万元，完成预算100%。</w:t>
      </w:r>
    </w:p>
    <w:p>
      <w:pPr>
        <w:tabs>
          <w:tab w:val="right" w:pos="8306"/>
        </w:tabs>
        <w:spacing w:line="600" w:lineRule="exact"/>
        <w:ind w:firstLine="640"/>
        <w:outlineLvl w:val="1"/>
        <w:rPr>
          <w:rStyle w:val="16"/>
        </w:rPr>
      </w:pPr>
      <w:bookmarkStart w:id="34" w:name="_Toc15377215"/>
      <w:bookmarkStart w:id="35" w:name="_Toc15396609"/>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6"/>
          <w:rFonts w:hint="eastAsia" w:ascii="黑体" w:hAnsi="黑体" w:eastAsia="黑体"/>
          <w:b w:val="0"/>
        </w:rPr>
        <w:t>般公共预算财政拨款基本支出决算情况说明</w:t>
      </w:r>
      <w:r>
        <w:rPr>
          <w:rStyle w:val="16"/>
          <w:rFonts w:ascii="黑体" w:hAnsi="黑体" w:eastAsia="黑体"/>
          <w:b w:val="0"/>
        </w:rPr>
        <w:tab/>
      </w:r>
    </w:p>
    <w:p>
      <w:pPr>
        <w:spacing w:line="600" w:lineRule="exact"/>
        <w:ind w:firstLine="645"/>
        <w:rPr>
          <w:rFonts w:hint="eastAsia" w:ascii="仿宋" w:hAnsi="仿宋" w:eastAsia="仿宋"/>
          <w:color w:val="000000"/>
          <w:sz w:val="30"/>
          <w:szCs w:val="30"/>
          <w:lang w:val="en-US"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w:t>
      </w:r>
      <w:r>
        <w:rPr>
          <w:rFonts w:hint="eastAsia" w:ascii="仿宋" w:hAnsi="仿宋" w:eastAsia="仿宋"/>
          <w:color w:val="000000"/>
          <w:sz w:val="30"/>
          <w:szCs w:val="30"/>
        </w:rPr>
        <w:t>基本支出</w:t>
      </w:r>
      <w:r>
        <w:rPr>
          <w:rFonts w:hint="eastAsia" w:ascii="仿宋" w:hAnsi="仿宋" w:eastAsia="仿宋"/>
          <w:color w:val="000000"/>
          <w:sz w:val="30"/>
          <w:szCs w:val="30"/>
          <w:lang w:val="en-US" w:eastAsia="zh-CN"/>
        </w:rPr>
        <w:t>1825.94</w:t>
      </w:r>
      <w:r>
        <w:rPr>
          <w:rFonts w:hint="eastAsia" w:ascii="仿宋" w:hAnsi="仿宋" w:eastAsia="仿宋"/>
          <w:color w:val="000000"/>
          <w:sz w:val="30"/>
          <w:szCs w:val="30"/>
        </w:rPr>
        <w:t>万元，其</w:t>
      </w:r>
      <w:r>
        <w:rPr>
          <w:rFonts w:hint="eastAsia" w:ascii="仿宋" w:hAnsi="仿宋" w:eastAsia="仿宋"/>
          <w:color w:val="000000"/>
          <w:sz w:val="30"/>
          <w:szCs w:val="30"/>
          <w:lang w:val="en-US" w:eastAsia="zh-CN"/>
        </w:rPr>
        <w:t>中：</w:t>
      </w:r>
    </w:p>
    <w:p>
      <w:pPr>
        <w:pageBreakBefore w:val="0"/>
        <w:kinsoku/>
        <w:wordWrap/>
        <w:overflowPunct/>
        <w:topLinePunct w:val="0"/>
        <w:bidi w:val="0"/>
        <w:spacing w:line="560" w:lineRule="exact"/>
        <w:ind w:firstLine="640"/>
        <w:outlineLvl w:val="1"/>
        <w:rPr>
          <w:rFonts w:hint="eastAsia"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1639.14</w:t>
      </w:r>
      <w:r>
        <w:rPr>
          <w:rFonts w:hint="eastAsia" w:ascii="仿宋" w:hAnsi="仿宋" w:eastAsia="仿宋"/>
          <w:color w:val="000000"/>
          <w:sz w:val="32"/>
          <w:szCs w:val="32"/>
        </w:rPr>
        <w:t>万元，主要包括：基本工资、津贴补贴、奖金、绩效工资、机关事业单位基本养老保险缴费、职业年金缴费、其他社会保障缴费、其他工资福利支出、离休费、退休费、抚恤金、生活补助、医疗费补助、奖励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186.80</w:t>
      </w:r>
      <w:r>
        <w:rPr>
          <w:rFonts w:hint="eastAsia" w:ascii="仿宋" w:hAnsi="仿宋" w:eastAsia="仿宋"/>
          <w:color w:val="000000"/>
          <w:sz w:val="32"/>
          <w:szCs w:val="32"/>
        </w:rPr>
        <w:t>万元，主要包括：办公费、印刷费、水费、电费、邮电费、物业管理费、差旅费、维修（护）费、租赁费、会议费、培训费、公务接待费、劳务费、委托业务费、工会经费、福利费、其他交通费等。</w:t>
      </w:r>
    </w:p>
    <w:bookmarkEnd w:id="34"/>
    <w:bookmarkEnd w:id="35"/>
    <w:p>
      <w:pPr>
        <w:spacing w:line="600" w:lineRule="exact"/>
        <w:ind w:firstLine="640"/>
        <w:outlineLvl w:val="1"/>
        <w:rPr>
          <w:rStyle w:val="16"/>
          <w:rFonts w:ascii="黑体" w:hAnsi="黑体" w:eastAsia="黑体"/>
          <w:b w:val="0"/>
        </w:rPr>
      </w:pPr>
      <w:r>
        <w:rPr>
          <w:rFonts w:hint="eastAsia" w:ascii="黑体" w:eastAsia="黑体"/>
          <w:color w:val="000000"/>
          <w:sz w:val="32"/>
          <w:szCs w:val="32"/>
        </w:rPr>
        <w:t>七、</w:t>
      </w:r>
      <w:r>
        <w:rPr>
          <w:rStyle w:val="16"/>
          <w:rFonts w:hint="eastAsia" w:ascii="黑体" w:hAnsi="黑体" w:eastAsia="黑体"/>
        </w:rPr>
        <w:t>“</w:t>
      </w:r>
      <w:r>
        <w:rPr>
          <w:rStyle w:val="16"/>
          <w:rFonts w:hint="eastAsia" w:ascii="黑体" w:hAnsi="黑体" w:eastAsia="黑体"/>
          <w:b w:val="0"/>
        </w:rPr>
        <w:t>三公”经费财政拨款支出决算情况说明</w:t>
      </w:r>
    </w:p>
    <w:p>
      <w:pPr>
        <w:spacing w:line="600" w:lineRule="exact"/>
        <w:ind w:firstLine="640"/>
        <w:outlineLvl w:val="2"/>
        <w:rPr>
          <w:rFonts w:ascii="仿宋" w:hAnsi="仿宋" w:eastAsia="仿宋"/>
          <w:b/>
          <w:color w:val="000000"/>
          <w:sz w:val="32"/>
          <w:szCs w:val="32"/>
        </w:rPr>
      </w:pPr>
      <w:bookmarkStart w:id="36" w:name="_Toc15377216"/>
      <w:r>
        <w:rPr>
          <w:rFonts w:hint="eastAsia" w:ascii="仿宋" w:hAnsi="仿宋" w:eastAsia="仿宋"/>
          <w:b/>
          <w:color w:val="000000"/>
          <w:sz w:val="32"/>
          <w:szCs w:val="32"/>
        </w:rPr>
        <w:t>（一）“三公”经费财政拨款支出决算总体情况说明</w:t>
      </w:r>
      <w:bookmarkEnd w:id="36"/>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6.35</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_GB2312" w:eastAsia="仿宋_GB2312"/>
          <w:color w:val="000000"/>
          <w:sz w:val="32"/>
          <w:szCs w:val="32"/>
          <w:lang w:eastAsia="zh-CN"/>
        </w:rPr>
        <w:t>与预算数持平</w:t>
      </w:r>
      <w:r>
        <w:rPr>
          <w:rFonts w:hint="eastAsia" w:ascii="仿宋_GB2312" w:eastAsia="仿宋_GB2312"/>
          <w:color w:val="000000"/>
          <w:sz w:val="32"/>
          <w:szCs w:val="32"/>
        </w:rPr>
        <w:t>。</w:t>
      </w:r>
    </w:p>
    <w:p>
      <w:pPr>
        <w:spacing w:line="600" w:lineRule="exact"/>
        <w:ind w:firstLine="640"/>
        <w:outlineLvl w:val="2"/>
        <w:rPr>
          <w:rFonts w:ascii="仿宋" w:hAnsi="仿宋" w:eastAsia="仿宋"/>
          <w:b/>
          <w:color w:val="000000"/>
          <w:sz w:val="32"/>
          <w:szCs w:val="32"/>
        </w:rPr>
      </w:pPr>
      <w:bookmarkStart w:id="37" w:name="_Toc15377217"/>
      <w:r>
        <w:rPr>
          <w:rFonts w:hint="eastAsia" w:ascii="仿宋" w:hAnsi="仿宋" w:eastAsia="仿宋"/>
          <w:b/>
          <w:color w:val="000000"/>
          <w:sz w:val="32"/>
          <w:szCs w:val="32"/>
        </w:rPr>
        <w:t>（二）“三公”经费财政拨款支出决算具体情况说明</w:t>
      </w:r>
      <w:bookmarkEnd w:id="37"/>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0.00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3.48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54.80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2.87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45.20</w:t>
      </w:r>
      <w:r>
        <w:rPr>
          <w:rFonts w:ascii="仿宋" w:hAnsi="仿宋" w:eastAsia="仿宋"/>
          <w:color w:val="000000"/>
          <w:sz w:val="32"/>
          <w:szCs w:val="32"/>
        </w:rPr>
        <w:t>%</w:t>
      </w:r>
      <w:r>
        <w:rPr>
          <w:rFonts w:hint="eastAsia" w:ascii="仿宋" w:hAnsi="仿宋" w:eastAsia="仿宋"/>
          <w:color w:val="000000"/>
          <w:sz w:val="32"/>
          <w:szCs w:val="32"/>
        </w:rPr>
        <w:t>。具体情况如下：</w:t>
      </w:r>
    </w:p>
    <w:p>
      <w:r>
        <w:drawing>
          <wp:inline distT="0" distB="0" distL="114300" distR="114300">
            <wp:extent cx="4627880" cy="2860040"/>
            <wp:effectExtent l="0" t="0" r="1270" b="54610"/>
            <wp:docPr id="6"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rPr>
          <w:rFonts w:hint="eastAsia" w:ascii="仿宋_GB2312" w:eastAsia="仿宋_GB2312"/>
          <w:b/>
          <w:color w:val="000000"/>
          <w:sz w:val="32"/>
          <w:szCs w:val="32"/>
          <w:lang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3"/>
          <w:rFonts w:hint="eastAsia" w:ascii="仿宋" w:hAnsi="仿宋" w:eastAsia="仿宋"/>
          <w:b w:val="0"/>
          <w:bCs/>
          <w:color w:val="000000"/>
          <w:sz w:val="32"/>
          <w:szCs w:val="32"/>
        </w:rPr>
        <w:t>完成预算</w:t>
      </w:r>
      <w:r>
        <w:rPr>
          <w:rStyle w:val="13"/>
          <w:rFonts w:hint="eastAsia" w:ascii="仿宋" w:hAnsi="仿宋" w:eastAsia="仿宋"/>
          <w:b w:val="0"/>
          <w:bCs/>
          <w:color w:val="000000"/>
          <w:sz w:val="32"/>
          <w:szCs w:val="32"/>
          <w:lang w:val="en-US" w:eastAsia="zh-CN"/>
        </w:rPr>
        <w:t>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w:t>
      </w:r>
      <w:r>
        <w:rPr>
          <w:rFonts w:hint="eastAsia" w:ascii="仿宋_GB2312" w:eastAsia="仿宋_GB2312"/>
          <w:color w:val="000000"/>
          <w:sz w:val="32"/>
          <w:szCs w:val="32"/>
          <w:lang w:eastAsia="zh-CN"/>
        </w:rPr>
        <w:t>与</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比较无变化。</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b/>
          <w:color w:val="000000"/>
          <w:sz w:val="32"/>
          <w:szCs w:val="32"/>
          <w:lang w:val="en-US" w:eastAsia="zh-CN"/>
        </w:rPr>
        <w:t>3.48</w:t>
      </w:r>
      <w:r>
        <w:rPr>
          <w:rFonts w:hint="eastAsia" w:ascii="仿宋_GB2312" w:eastAsia="仿宋_GB2312"/>
          <w:color w:val="000000"/>
          <w:sz w:val="32"/>
          <w:szCs w:val="32"/>
        </w:rPr>
        <w:t>万元,</w:t>
      </w:r>
      <w:r>
        <w:rPr>
          <w:rStyle w:val="13"/>
          <w:rFonts w:hint="eastAsia" w:ascii="仿宋" w:hAnsi="仿宋" w:eastAsia="仿宋"/>
          <w:b w:val="0"/>
          <w:bCs/>
          <w:color w:val="000000"/>
          <w:sz w:val="32"/>
          <w:szCs w:val="32"/>
        </w:rPr>
        <w:t>完成预算</w:t>
      </w:r>
      <w:r>
        <w:rPr>
          <w:rStyle w:val="13"/>
          <w:rFonts w:hint="eastAsia" w:ascii="仿宋" w:hAnsi="仿宋" w:eastAsia="仿宋"/>
          <w:b w:val="0"/>
          <w:bCs/>
          <w:color w:val="000000"/>
          <w:sz w:val="32"/>
          <w:szCs w:val="32"/>
          <w:lang w:val="en-US" w:eastAsia="zh-CN"/>
        </w:rPr>
        <w:t>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highlight w:val="none"/>
        </w:rPr>
        <w:t>减少</w:t>
      </w:r>
      <w:r>
        <w:rPr>
          <w:rFonts w:hint="eastAsia" w:ascii="仿宋_GB2312" w:eastAsia="仿宋_GB2312"/>
          <w:color w:val="000000"/>
          <w:sz w:val="32"/>
          <w:szCs w:val="32"/>
          <w:highlight w:val="none"/>
          <w:lang w:val="en-US" w:eastAsia="zh-CN"/>
        </w:rPr>
        <w:t>11.45</w:t>
      </w:r>
      <w:r>
        <w:rPr>
          <w:rFonts w:hint="eastAsia" w:ascii="仿宋_GB2312" w:eastAsia="仿宋_GB2312"/>
          <w:color w:val="000000"/>
          <w:sz w:val="32"/>
          <w:szCs w:val="32"/>
        </w:rPr>
        <w:t>万元，</w:t>
      </w:r>
      <w:r>
        <w:rPr>
          <w:rFonts w:hint="eastAsia" w:ascii="仿宋_GB2312" w:eastAsia="仿宋_GB2312"/>
          <w:color w:val="000000"/>
          <w:sz w:val="32"/>
          <w:szCs w:val="32"/>
          <w:highlight w:val="none"/>
        </w:rPr>
        <w:t>下降</w:t>
      </w:r>
      <w:r>
        <w:rPr>
          <w:rFonts w:hint="eastAsia" w:ascii="仿宋_GB2312" w:eastAsia="仿宋_GB2312"/>
          <w:color w:val="000000"/>
          <w:sz w:val="32"/>
          <w:szCs w:val="32"/>
          <w:lang w:val="en-US" w:eastAsia="zh-CN"/>
        </w:rPr>
        <w:t>76.69</w:t>
      </w:r>
      <w:r>
        <w:rPr>
          <w:rFonts w:ascii="仿宋_GB2312" w:eastAsia="仿宋_GB2312"/>
          <w:color w:val="000000"/>
          <w:sz w:val="32"/>
          <w:szCs w:val="32"/>
        </w:rPr>
        <w:t>%</w:t>
      </w:r>
      <w:r>
        <w:rPr>
          <w:rFonts w:hint="eastAsia" w:ascii="仿宋_GB2312" w:eastAsia="仿宋_GB2312"/>
          <w:color w:val="000000"/>
          <w:sz w:val="32"/>
          <w:szCs w:val="32"/>
        </w:rPr>
        <w:t>。主要原因是主要原因是</w:t>
      </w:r>
      <w:r>
        <w:rPr>
          <w:rFonts w:hint="eastAsia" w:ascii="仿宋_GB2312" w:eastAsia="仿宋_GB2312"/>
          <w:color w:val="000000"/>
          <w:sz w:val="32"/>
          <w:szCs w:val="32"/>
          <w:lang w:eastAsia="zh-CN"/>
        </w:rPr>
        <w:t>强化车辆管理，严格按行驶里程报销油料及相关费用</w:t>
      </w:r>
      <w:r>
        <w:rPr>
          <w:rFonts w:hint="eastAsia" w:ascii="仿宋_GB2312" w:eastAsia="仿宋_GB2312"/>
          <w:color w:val="000000"/>
          <w:sz w:val="32"/>
          <w:szCs w:val="32"/>
        </w:rPr>
        <w:t>。</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3.48</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森林防火、检疫检查、宣传</w:t>
      </w:r>
      <w:r>
        <w:rPr>
          <w:rFonts w:hint="eastAsia" w:ascii="仿宋_GB2312" w:eastAsia="仿宋_GB2312"/>
          <w:color w:val="000000"/>
          <w:sz w:val="32"/>
          <w:szCs w:val="32"/>
        </w:rPr>
        <w:t>等所需的公务用车燃料费、维修费、过路过桥费、保险费等支出。</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lang w:val="en-US" w:eastAsia="zh-CN"/>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2.87</w:t>
      </w:r>
      <w:r>
        <w:rPr>
          <w:rFonts w:hint="eastAsia" w:ascii="仿宋_GB2312" w:eastAsia="仿宋_GB2312"/>
          <w:color w:val="000000"/>
          <w:sz w:val="32"/>
          <w:szCs w:val="32"/>
        </w:rPr>
        <w:t>万元，</w:t>
      </w:r>
      <w:r>
        <w:rPr>
          <w:rStyle w:val="13"/>
          <w:rFonts w:hint="eastAsia" w:ascii="仿宋" w:hAnsi="仿宋" w:eastAsia="仿宋"/>
          <w:b w:val="0"/>
          <w:bCs/>
          <w:color w:val="000000"/>
          <w:sz w:val="32"/>
          <w:szCs w:val="32"/>
        </w:rPr>
        <w:t>完成预算</w:t>
      </w:r>
      <w:r>
        <w:rPr>
          <w:rStyle w:val="13"/>
          <w:rFonts w:hint="eastAsia" w:ascii="仿宋" w:hAnsi="仿宋" w:eastAsia="仿宋"/>
          <w:b w:val="0"/>
          <w:bCs/>
          <w:color w:val="000000"/>
          <w:sz w:val="32"/>
          <w:szCs w:val="32"/>
          <w:lang w:val="en-US" w:eastAsia="zh-CN"/>
        </w:rPr>
        <w:t>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hint="eastAsia" w:ascii="仿宋_GB2312" w:eastAsia="仿宋_GB2312"/>
          <w:color w:val="000000"/>
          <w:sz w:val="32"/>
          <w:szCs w:val="32"/>
          <w:lang w:val="en-US" w:eastAsia="zh-CN"/>
        </w:rPr>
        <w:t>2018年</w:t>
      </w:r>
      <w:r>
        <w:rPr>
          <w:rFonts w:hint="eastAsia" w:ascii="仿宋_GB2312" w:eastAsia="仿宋_GB2312"/>
          <w:color w:val="000000"/>
          <w:sz w:val="32"/>
          <w:szCs w:val="32"/>
          <w:highlight w:val="none"/>
        </w:rPr>
        <w:t>减少</w:t>
      </w:r>
      <w:r>
        <w:rPr>
          <w:rFonts w:hint="eastAsia" w:ascii="仿宋_GB2312" w:eastAsia="仿宋_GB2312"/>
          <w:color w:val="000000"/>
          <w:sz w:val="32"/>
          <w:szCs w:val="32"/>
          <w:highlight w:val="none"/>
          <w:lang w:val="en-US" w:eastAsia="zh-CN"/>
        </w:rPr>
        <w:t>8.57</w:t>
      </w:r>
      <w:r>
        <w:rPr>
          <w:rFonts w:hint="eastAsia" w:ascii="仿宋_GB2312" w:eastAsia="仿宋_GB2312"/>
          <w:color w:val="000000"/>
          <w:sz w:val="32"/>
          <w:szCs w:val="32"/>
        </w:rPr>
        <w:t>万元，</w:t>
      </w:r>
      <w:r>
        <w:rPr>
          <w:rFonts w:hint="eastAsia" w:ascii="仿宋_GB2312" w:eastAsia="仿宋_GB2312"/>
          <w:color w:val="000000"/>
          <w:sz w:val="32"/>
          <w:szCs w:val="32"/>
          <w:highlight w:val="none"/>
        </w:rPr>
        <w:t>下降</w:t>
      </w:r>
      <w:r>
        <w:rPr>
          <w:rFonts w:hint="eastAsia" w:ascii="仿宋_GB2312" w:eastAsia="仿宋_GB2312"/>
          <w:color w:val="000000"/>
          <w:sz w:val="32"/>
          <w:szCs w:val="32"/>
          <w:highlight w:val="none"/>
          <w:lang w:val="en-US" w:eastAsia="zh-CN"/>
        </w:rPr>
        <w:t>74.91</w:t>
      </w:r>
      <w:r>
        <w:rPr>
          <w:rFonts w:ascii="仿宋_GB2312" w:eastAsia="仿宋_GB2312"/>
          <w:color w:val="000000"/>
          <w:sz w:val="32"/>
          <w:szCs w:val="32"/>
        </w:rPr>
        <w:t>%</w:t>
      </w:r>
      <w:r>
        <w:rPr>
          <w:rFonts w:hint="eastAsia" w:ascii="仿宋_GB2312" w:eastAsia="仿宋_GB2312"/>
          <w:color w:val="000000"/>
          <w:sz w:val="32"/>
          <w:szCs w:val="32"/>
        </w:rPr>
        <w:t>。主要原因是我</w:t>
      </w:r>
      <w:r>
        <w:rPr>
          <w:rFonts w:hint="eastAsia" w:ascii="仿宋_GB2312" w:eastAsia="仿宋_GB2312"/>
          <w:color w:val="000000"/>
          <w:sz w:val="32"/>
          <w:szCs w:val="32"/>
          <w:lang w:eastAsia="zh-CN"/>
        </w:rPr>
        <w:t>部门</w:t>
      </w:r>
      <w:r>
        <w:rPr>
          <w:rFonts w:hint="eastAsia" w:ascii="仿宋_GB2312" w:eastAsia="仿宋_GB2312"/>
          <w:color w:val="000000"/>
          <w:sz w:val="32"/>
          <w:szCs w:val="32"/>
        </w:rPr>
        <w:t>严格执行中央八项规定精神，认真贯彻落实省市县相关规定，进一步规范了公务接待事项，公务接待费开支</w:t>
      </w:r>
      <w:r>
        <w:rPr>
          <w:rFonts w:hint="eastAsia" w:ascii="仿宋_GB2312" w:eastAsia="仿宋_GB2312"/>
          <w:color w:val="000000"/>
          <w:sz w:val="32"/>
          <w:szCs w:val="32"/>
          <w:lang w:eastAsia="zh-CN"/>
        </w:rPr>
        <w:t>明显</w:t>
      </w:r>
      <w:r>
        <w:rPr>
          <w:rFonts w:hint="eastAsia" w:ascii="仿宋_GB2312" w:eastAsia="仿宋_GB2312"/>
          <w:color w:val="000000"/>
          <w:sz w:val="32"/>
          <w:szCs w:val="32"/>
        </w:rPr>
        <w:t>下降。</w:t>
      </w:r>
    </w:p>
    <w:p>
      <w:pPr>
        <w:numPr>
          <w:ilvl w:val="0"/>
          <w:numId w:val="0"/>
        </w:num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2.87</w:t>
      </w:r>
      <w:r>
        <w:rPr>
          <w:rFonts w:hint="eastAsia" w:ascii="仿宋_GB2312" w:eastAsia="仿宋_GB2312"/>
          <w:color w:val="000000"/>
          <w:sz w:val="32"/>
          <w:szCs w:val="32"/>
        </w:rPr>
        <w:t>万元，</w:t>
      </w:r>
      <w:r>
        <w:rPr>
          <w:rFonts w:hint="eastAsia" w:ascii="仿宋_GB2312" w:eastAsia="仿宋_GB2312"/>
          <w:color w:val="000000"/>
          <w:sz w:val="32"/>
          <w:szCs w:val="32"/>
          <w:highlight w:val="none"/>
        </w:rPr>
        <w:t>执行公务、开展业务活动开支的用餐费等</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rPr>
        <w:t>国内公务接待</w:t>
      </w:r>
      <w:r>
        <w:rPr>
          <w:rFonts w:hint="eastAsia" w:ascii="仿宋_GB2312" w:eastAsia="仿宋_GB2312"/>
          <w:color w:val="000000"/>
          <w:sz w:val="32"/>
          <w:szCs w:val="32"/>
          <w:highlight w:val="none"/>
          <w:lang w:val="en-US" w:eastAsia="zh-CN"/>
        </w:rPr>
        <w:t>176</w:t>
      </w:r>
      <w:r>
        <w:rPr>
          <w:rFonts w:hint="eastAsia" w:ascii="仿宋_GB2312" w:eastAsia="仿宋_GB2312"/>
          <w:color w:val="000000"/>
          <w:sz w:val="32"/>
          <w:szCs w:val="32"/>
          <w:highlight w:val="none"/>
        </w:rPr>
        <w:t>批次，</w:t>
      </w:r>
      <w:r>
        <w:rPr>
          <w:rFonts w:hint="eastAsia" w:ascii="仿宋_GB2312" w:eastAsia="仿宋_GB2312"/>
          <w:color w:val="000000"/>
          <w:sz w:val="32"/>
          <w:szCs w:val="32"/>
          <w:highlight w:val="none"/>
          <w:lang w:val="en-US" w:eastAsia="zh-CN"/>
        </w:rPr>
        <w:t>1144</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2.87</w:t>
      </w:r>
      <w:r>
        <w:rPr>
          <w:rFonts w:hint="eastAsia" w:ascii="仿宋_GB2312" w:eastAsia="仿宋_GB2312"/>
          <w:color w:val="000000"/>
          <w:sz w:val="32"/>
          <w:szCs w:val="32"/>
        </w:rPr>
        <w:t>万元。</w:t>
      </w:r>
    </w:p>
    <w:p>
      <w:pPr>
        <w:spacing w:line="600" w:lineRule="exact"/>
        <w:ind w:firstLine="640"/>
        <w:outlineLvl w:val="1"/>
        <w:rPr>
          <w:rStyle w:val="16"/>
          <w:rFonts w:ascii="黑体" w:hAnsi="黑体" w:eastAsia="黑体"/>
        </w:rPr>
      </w:pPr>
      <w:r>
        <w:rPr>
          <w:rFonts w:hint="eastAsia" w:ascii="黑体" w:eastAsia="黑体"/>
          <w:color w:val="000000"/>
          <w:sz w:val="32"/>
          <w:szCs w:val="32"/>
        </w:rPr>
        <w:t>八、</w:t>
      </w:r>
      <w:r>
        <w:rPr>
          <w:rStyle w:val="16"/>
          <w:rFonts w:hint="eastAsia" w:ascii="黑体" w:hAnsi="黑体" w:eastAsia="黑体"/>
          <w:b w:val="0"/>
        </w:rPr>
        <w:t>政府性基金预算支出决算情况说明</w:t>
      </w:r>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1140</w:t>
      </w:r>
      <w:r>
        <w:rPr>
          <w:rFonts w:hint="eastAsia" w:ascii="仿宋_GB2312" w:eastAsia="仿宋_GB2312"/>
          <w:color w:val="000000"/>
          <w:sz w:val="32"/>
          <w:szCs w:val="32"/>
        </w:rPr>
        <w:t>万元。</w:t>
      </w:r>
      <w:bookmarkStart w:id="70" w:name="_GoBack"/>
      <w:bookmarkEnd w:id="70"/>
    </w:p>
    <w:p>
      <w:pPr>
        <w:numPr>
          <w:ilvl w:val="0"/>
          <w:numId w:val="3"/>
        </w:numPr>
        <w:spacing w:line="600" w:lineRule="exact"/>
        <w:ind w:firstLine="640"/>
        <w:outlineLvl w:val="1"/>
        <w:rPr>
          <w:rStyle w:val="16"/>
          <w:rFonts w:ascii="黑体" w:hAnsi="黑体" w:eastAsia="黑体"/>
          <w:b w:val="0"/>
        </w:rPr>
      </w:pPr>
      <w:bookmarkStart w:id="38" w:name="_Toc15377219"/>
      <w:bookmarkStart w:id="39" w:name="_Toc15396611"/>
      <w:r>
        <w:rPr>
          <w:rStyle w:val="16"/>
          <w:rFonts w:hint="eastAsia" w:ascii="黑体" w:hAnsi="黑体" w:eastAsia="黑体"/>
          <w:b w:val="0"/>
        </w:rPr>
        <w:t>国有资本经营预算支出决算情况说明</w:t>
      </w:r>
      <w:bookmarkEnd w:id="38"/>
      <w:bookmarkEnd w:id="3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firstLineChars="200"/>
        <w:outlineLvl w:val="1"/>
        <w:rPr>
          <w:rStyle w:val="16"/>
          <w:rFonts w:ascii="黑体" w:hAnsi="黑体" w:eastAsia="黑体"/>
        </w:rPr>
      </w:pPr>
      <w:r>
        <w:rPr>
          <w:rFonts w:hint="eastAsia" w:ascii="黑体" w:hAnsi="黑体" w:eastAsia="黑体"/>
          <w:color w:val="000000"/>
          <w:sz w:val="32"/>
          <w:szCs w:val="32"/>
        </w:rPr>
        <w:t>十</w:t>
      </w:r>
      <w:r>
        <w:rPr>
          <w:rStyle w:val="16"/>
          <w:rFonts w:hint="eastAsia" w:ascii="黑体" w:hAnsi="黑体" w:eastAsia="黑体"/>
        </w:rPr>
        <w:t>、</w:t>
      </w:r>
      <w:r>
        <w:rPr>
          <w:rStyle w:val="16"/>
          <w:rFonts w:hint="eastAsia" w:ascii="黑体" w:hAnsi="黑体" w:eastAsia="黑体"/>
          <w:b w:val="0"/>
        </w:rPr>
        <w:t>其他重要事项的情况说明</w:t>
      </w:r>
    </w:p>
    <w:p>
      <w:pPr>
        <w:spacing w:line="600" w:lineRule="exact"/>
        <w:ind w:firstLine="643" w:firstLineChars="200"/>
        <w:outlineLvl w:val="2"/>
        <w:rPr>
          <w:rFonts w:ascii="仿宋" w:hAnsi="仿宋" w:eastAsia="仿宋"/>
          <w:color w:val="000000"/>
          <w:sz w:val="32"/>
          <w:szCs w:val="32"/>
        </w:rPr>
      </w:pPr>
      <w:r>
        <w:rPr>
          <w:rFonts w:hint="eastAsia" w:ascii="仿宋" w:hAnsi="仿宋" w:eastAsia="仿宋"/>
          <w:b/>
          <w:color w:val="000000"/>
          <w:sz w:val="32"/>
          <w:szCs w:val="32"/>
        </w:rPr>
        <w:t>（一）机关运行经费支出情况</w:t>
      </w:r>
    </w:p>
    <w:p>
      <w:pPr>
        <w:spacing w:line="600" w:lineRule="exact"/>
        <w:ind w:firstLine="640" w:firstLineChars="200"/>
        <w:rPr>
          <w:rFonts w:hint="eastAsia" w:ascii="仿宋_GB2312" w:eastAsia="宋体"/>
          <w:color w:val="000000" w:themeColor="text1"/>
          <w:sz w:val="32"/>
          <w:szCs w:val="32"/>
          <w:lang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highlight w:val="none"/>
          <w:lang w:val="en-US" w:eastAsia="zh-CN"/>
        </w:rPr>
        <w:t>林业局</w:t>
      </w:r>
      <w:r>
        <w:rPr>
          <w:rFonts w:hint="eastAsia" w:ascii="仿宋_GB2312" w:eastAsia="仿宋_GB2312"/>
          <w:color w:val="000000"/>
          <w:sz w:val="32"/>
          <w:szCs w:val="32"/>
        </w:rPr>
        <w:t>机关运行经费支</w:t>
      </w:r>
      <w:r>
        <w:rPr>
          <w:rFonts w:hint="eastAsia" w:ascii="仿宋_GB2312" w:eastAsia="仿宋_GB2312"/>
          <w:color w:val="000000"/>
          <w:sz w:val="32"/>
          <w:szCs w:val="32"/>
          <w:lang w:eastAsia="zh-CN"/>
        </w:rPr>
        <w:t>出</w:t>
      </w:r>
      <w:r>
        <w:rPr>
          <w:rFonts w:hint="eastAsia" w:ascii="仿宋_GB2312" w:eastAsia="仿宋_GB2312"/>
          <w:color w:val="000000"/>
          <w:sz w:val="32"/>
          <w:szCs w:val="32"/>
          <w:lang w:val="en-US" w:eastAsia="zh-CN"/>
        </w:rPr>
        <w:t>172.11</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22.68</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11.64</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严格执行八项规定，经费减少。</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highlight w:val="none"/>
          <w:lang w:val="en-US" w:eastAsia="zh-CN"/>
        </w:rPr>
        <w:t>林业局</w:t>
      </w:r>
      <w:r>
        <w:rPr>
          <w:rFonts w:hint="eastAsia" w:ascii="仿宋_GB2312" w:eastAsia="仿宋_GB2312"/>
          <w:color w:val="000000"/>
          <w:sz w:val="32"/>
          <w:szCs w:val="32"/>
          <w:lang w:val="en-US" w:eastAsia="zh-CN"/>
        </w:rPr>
        <w:t>政</w:t>
      </w:r>
      <w:r>
        <w:rPr>
          <w:rFonts w:hint="eastAsia" w:ascii="仿宋_GB2312" w:eastAsia="仿宋_GB2312"/>
          <w:color w:val="000000"/>
          <w:sz w:val="32"/>
          <w:szCs w:val="32"/>
        </w:rPr>
        <w:t>府采购支出总额</w:t>
      </w:r>
      <w:r>
        <w:rPr>
          <w:rFonts w:hint="eastAsia" w:ascii="仿宋_GB2312" w:eastAsia="仿宋_GB2312"/>
          <w:color w:val="000000"/>
          <w:sz w:val="32"/>
          <w:szCs w:val="32"/>
          <w:lang w:val="en-US" w:eastAsia="zh-CN"/>
        </w:rPr>
        <w:t>4352.33</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2214</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1690.53</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447.8</w:t>
      </w:r>
      <w:r>
        <w:rPr>
          <w:rFonts w:hint="eastAsia" w:ascii="仿宋_GB2312" w:eastAsia="仿宋_GB2312"/>
          <w:color w:val="000000"/>
          <w:sz w:val="32"/>
          <w:szCs w:val="32"/>
        </w:rPr>
        <w:t>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40" w:name="_Toc15377224"/>
      <w:r>
        <w:rPr>
          <w:rFonts w:hint="eastAsia" w:ascii="仿宋" w:hAnsi="仿宋" w:eastAsia="仿宋"/>
          <w:b/>
          <w:color w:val="000000"/>
          <w:sz w:val="32"/>
          <w:szCs w:val="32"/>
        </w:rPr>
        <w:t>（三）国有资产占有使用情况</w:t>
      </w:r>
      <w:bookmarkEnd w:id="40"/>
    </w:p>
    <w:p>
      <w:pPr>
        <w:autoSpaceDE w:val="0"/>
        <w:autoSpaceDN w:val="0"/>
        <w:adjustRightInd w:val="0"/>
        <w:spacing w:line="600" w:lineRule="exact"/>
        <w:ind w:firstLine="640" w:firstLineChars="200"/>
        <w:jc w:val="left"/>
        <w:rPr>
          <w:rFonts w:hint="eastAsia"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highlight w:val="none"/>
          <w:lang w:val="en-US" w:eastAsia="zh-CN"/>
        </w:rPr>
        <w:t>林业局</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辆，其中：应急保障用车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 执法执勤用车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主要是用于</w:t>
      </w:r>
      <w:r>
        <w:rPr>
          <w:rFonts w:hint="eastAsia" w:ascii="仿宋_GB2312" w:eastAsia="仿宋_GB2312"/>
          <w:color w:val="000000"/>
          <w:sz w:val="32"/>
          <w:szCs w:val="32"/>
        </w:rPr>
        <w:t>主要用于</w:t>
      </w:r>
      <w:r>
        <w:rPr>
          <w:rFonts w:hint="eastAsia" w:ascii="仿宋_GB2312" w:eastAsia="仿宋_GB2312"/>
          <w:color w:val="000000"/>
          <w:sz w:val="32"/>
          <w:szCs w:val="32"/>
          <w:lang w:eastAsia="zh-CN"/>
        </w:rPr>
        <w:t>森林防火、检疫检查、宣传</w:t>
      </w:r>
      <w:r>
        <w:rPr>
          <w:rFonts w:hint="eastAsia" w:ascii="仿宋_GB2312" w:eastAsia="仿宋_GB2312"/>
          <w:color w:val="000000"/>
          <w:sz w:val="32"/>
          <w:szCs w:val="32"/>
        </w:rPr>
        <w:t>等</w:t>
      </w:r>
      <w:r>
        <w:rPr>
          <w:rFonts w:hint="eastAsia" w:ascii="仿宋_GB2312" w:eastAsia="仿宋_GB2312"/>
          <w:color w:val="000000" w:themeColor="text1"/>
          <w:sz w:val="32"/>
          <w:szCs w:val="32"/>
          <w:lang w:eastAsia="zh-CN"/>
          <w14:textFill>
            <w14:solidFill>
              <w14:schemeClr w14:val="tx1"/>
            </w14:solidFill>
          </w14:textFill>
        </w:rPr>
        <w:t>。</w:t>
      </w:r>
    </w:p>
    <w:p>
      <w:pPr>
        <w:autoSpaceDE w:val="0"/>
        <w:autoSpaceDN w:val="0"/>
        <w:adjustRightInd w:val="0"/>
        <w:spacing w:line="600" w:lineRule="exact"/>
        <w:ind w:firstLine="643" w:firstLineChars="200"/>
        <w:jc w:val="left"/>
        <w:outlineLvl w:val="2"/>
        <w:rPr>
          <w:rFonts w:hint="eastAsia" w:ascii="仿宋" w:hAnsi="仿宋" w:eastAsia="仿宋"/>
          <w:b/>
          <w:color w:val="FF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根据预算绩效管理要求，本部门在年初预算编制阶段，组织对</w:t>
      </w:r>
      <w:r>
        <w:rPr>
          <w:rFonts w:hint="eastAsia" w:ascii="仿宋_GB2312" w:hAnsi="仿宋_GB2312" w:eastAsia="仿宋_GB2312" w:cs="仿宋_GB2312"/>
          <w:sz w:val="32"/>
          <w:szCs w:val="32"/>
          <w:lang w:eastAsia="zh-CN"/>
        </w:rPr>
        <w:t>松材线虫病防治、镇龙山国家森林公园总规修编项目</w:t>
      </w:r>
      <w:r>
        <w:rPr>
          <w:rFonts w:hint="eastAsia" w:ascii="仿宋_GB2312" w:hAnsi="仿宋_GB2312" w:eastAsia="仿宋_GB2312" w:cs="仿宋_GB2312"/>
          <w:sz w:val="32"/>
          <w:szCs w:val="32"/>
        </w:rPr>
        <w:t>开展了预算事前绩效评估，对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个项目开展了绩效目标完成情况自评。</w:t>
      </w:r>
    </w:p>
    <w:p>
      <w:pPr>
        <w:pageBreakBefore w:val="0"/>
        <w:widowControl w:val="0"/>
        <w:kinsoku/>
        <w:wordWrap/>
        <w:overflowPunct/>
        <w:topLinePunct w:val="0"/>
        <w:autoSpaceDE/>
        <w:autoSpaceDN/>
        <w:bidi w:val="0"/>
        <w:adjustRightInd/>
        <w:snapToGrid/>
        <w:spacing w:line="30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w:t>
      </w:r>
      <w:r>
        <w:rPr>
          <w:rFonts w:hint="eastAsia" w:ascii="仿宋_GB2312" w:hAnsi="仿宋_GB2312" w:eastAsia="仿宋_GB2312" w:cs="仿宋_GB2312"/>
          <w:sz w:val="32"/>
          <w:szCs w:val="32"/>
          <w:lang w:eastAsia="zh-CN"/>
        </w:rPr>
        <w:t>，较好的完成了各项绩效目标，建立森林病虫害测报点，有效防控松材线虫病蔓延，完成镇龙山国家森林公园范围调整及总体规划修编</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eastAsia="zh-CN"/>
        </w:rPr>
        <w:t>松材线虫病防治</w:t>
      </w:r>
      <w:r>
        <w:rPr>
          <w:rFonts w:hint="eastAsia" w:ascii="仿宋_GB2312" w:hAnsi="仿宋_GB2312" w:eastAsia="仿宋_GB2312" w:cs="仿宋_GB2312"/>
          <w:sz w:val="32"/>
          <w:szCs w:val="32"/>
          <w:lang w:val="en-US" w:eastAsia="zh-CN"/>
        </w:rPr>
        <w:t>1个</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支出绩效评价，从评价情况来看通过清理病死树以及综合治理媒介昆虫，有效地遏制松材线虫病扩散蔓延，进一步减少灾害损失。围绕根除松材线虫病疫情的目标，以不断降低疫点小班个数、枯死松树数量和发生面积为重点，以有效阻止和及时监测非疫点乡镇疫情入侵为关键，以快速彻底除治为保证，</w:t>
      </w:r>
      <w:r>
        <w:rPr>
          <w:rFonts w:hint="eastAsia" w:ascii="仿宋_GB2312" w:hAnsi="仿宋_GB2312" w:eastAsia="仿宋_GB2312" w:cs="仿宋_GB2312"/>
          <w:sz w:val="32"/>
          <w:szCs w:val="32"/>
          <w:lang w:val="en-US" w:eastAsia="zh-CN"/>
        </w:rPr>
        <w:t>全</w:t>
      </w:r>
      <w:r>
        <w:rPr>
          <w:rFonts w:hint="eastAsia" w:ascii="仿宋_GB2312" w:hAnsi="仿宋_GB2312" w:eastAsia="仿宋_GB2312" w:cs="仿宋_GB2312"/>
          <w:sz w:val="32"/>
          <w:szCs w:val="32"/>
        </w:rPr>
        <w:t xml:space="preserve">县病死松树数量下降 </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%以上；监测率达到 100%， 实现全覆盖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无盲区；实施科学防治，严控疫情蔓延，确保</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县松林资源健康。</w:t>
      </w:r>
    </w:p>
    <w:p>
      <w:pPr>
        <w:numPr>
          <w:ilvl w:val="0"/>
          <w:numId w:val="4"/>
        </w:num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eastAsia="zh-CN"/>
        </w:rPr>
        <w:t>松材线虫病防治经费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镇龙山国家森林公园总体规划修编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个项目绩效目标实际完成情况。</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松材线虫病防治</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%。通过项目实施，通过清理病死树以及综合治理媒介昆虫，有效地遏制松材线虫病扩散蔓延，进一步减少灾害损失。发现的主要问题：</w:t>
      </w:r>
      <w:r>
        <w:rPr>
          <w:rFonts w:hint="eastAsia" w:ascii="仿宋_GB2312" w:hAnsi="仿宋_GB2312" w:eastAsia="仿宋_GB2312" w:cs="仿宋_GB2312"/>
          <w:sz w:val="32"/>
          <w:szCs w:val="32"/>
          <w:lang w:eastAsia="zh-CN"/>
        </w:rPr>
        <w:t>松材线虫病被称为松树的“癌症”，通过</w:t>
      </w:r>
      <w:r>
        <w:rPr>
          <w:rFonts w:hint="eastAsia" w:ascii="仿宋_GB2312" w:hAnsi="仿宋_GB2312" w:eastAsia="仿宋_GB2312" w:cs="仿宋_GB2312"/>
          <w:sz w:val="32"/>
          <w:szCs w:val="32"/>
          <w:lang w:val="en-US" w:eastAsia="zh-CN"/>
        </w:rPr>
        <w:t>松墨天牛传播感染，</w:t>
      </w:r>
      <w:r>
        <w:rPr>
          <w:rFonts w:hint="eastAsia" w:ascii="仿宋_GB2312" w:hAnsi="仿宋_GB2312" w:eastAsia="仿宋_GB2312" w:cs="仿宋_GB2312"/>
          <w:sz w:val="32"/>
          <w:szCs w:val="32"/>
          <w:lang w:eastAsia="zh-CN"/>
        </w:rPr>
        <w:t>防控形势依然严峻</w:t>
      </w:r>
      <w:r>
        <w:rPr>
          <w:rFonts w:hint="eastAsia" w:ascii="仿宋_GB2312" w:hAnsi="仿宋_GB2312" w:eastAsia="仿宋_GB2312" w:cs="仿宋_GB2312"/>
          <w:sz w:val="32"/>
          <w:szCs w:val="32"/>
        </w:rPr>
        <w:t>。下一步改进措施：强化疫情动态监测，确保松材线虫病疫情得到控制；加强疫木及异常枯死松木监管，禁止发生染疫及异常枯死松木违规调运事件。</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镇龙山国家森林公园总体规划修编</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实现了高起点、高标准的森林公园总体规划，总规对公园生态环境进行科学保护，对生态旅游资源进行合理利用，将公园特有的地质地貌景观、人文历史与优美的自然环境及环境保护与生态旅游发展有机结合。</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森林公园建设期间长，资金缺口大，缺乏旅游开发与经营管理方面的人力资源</w:t>
      </w:r>
      <w:r>
        <w:rPr>
          <w:rFonts w:hint="eastAsia" w:ascii="仿宋_GB2312" w:hAnsi="仿宋_GB2312" w:eastAsia="仿宋_GB2312" w:cs="仿宋_GB2312"/>
          <w:sz w:val="32"/>
          <w:szCs w:val="32"/>
        </w:rPr>
        <w:t>。下一步</w:t>
      </w:r>
      <w:r>
        <w:rPr>
          <w:rFonts w:hint="eastAsia" w:ascii="仿宋_GB2312" w:hAnsi="仿宋_GB2312" w:eastAsia="仿宋_GB2312" w:cs="仿宋_GB2312"/>
          <w:sz w:val="32"/>
          <w:szCs w:val="32"/>
          <w:lang w:eastAsia="zh-CN"/>
        </w:rPr>
        <w:t>工作建议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公园保护与发展涉及到财政、城乡、交通、水利、能源、农业、环保和生态旅游等相关规划，应尽可能做好衔接工作。</w:t>
      </w:r>
    </w:p>
    <w:tbl>
      <w:tblPr>
        <w:tblStyle w:val="11"/>
        <w:tblpPr w:leftFromText="180" w:rightFromText="180" w:vertAnchor="text" w:horzAnchor="page" w:tblpX="1791" w:tblpY="3171"/>
        <w:tblOverlap w:val="never"/>
        <w:tblW w:w="8374" w:type="dxa"/>
        <w:jc w:val="center"/>
        <w:tblLayout w:type="fixed"/>
        <w:tblCellMar>
          <w:top w:w="0" w:type="dxa"/>
          <w:left w:w="0" w:type="dxa"/>
          <w:bottom w:w="0" w:type="dxa"/>
          <w:right w:w="0" w:type="dxa"/>
        </w:tblCellMar>
      </w:tblPr>
      <w:tblGrid>
        <w:gridCol w:w="390"/>
        <w:gridCol w:w="1367"/>
        <w:gridCol w:w="1025"/>
        <w:gridCol w:w="1348"/>
        <w:gridCol w:w="2276"/>
        <w:gridCol w:w="1968"/>
      </w:tblGrid>
      <w:tr>
        <w:tblPrEx>
          <w:tblCellMar>
            <w:top w:w="0" w:type="dxa"/>
            <w:left w:w="0" w:type="dxa"/>
            <w:bottom w:w="0" w:type="dxa"/>
            <w:right w:w="0" w:type="dxa"/>
          </w:tblCellMar>
        </w:tblPrEx>
        <w:trPr>
          <w:trHeight w:val="1034" w:hRule="atLeast"/>
          <w:jc w:val="center"/>
        </w:trPr>
        <w:tc>
          <w:tcPr>
            <w:tcW w:w="8374"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55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eastAsia="zh-CN"/>
              </w:rPr>
              <w:t>总规修编</w:t>
            </w:r>
            <w:r>
              <w:rPr>
                <w:rFonts w:hint="eastAsia" w:ascii="宋体" w:hAnsi="宋体" w:cs="宋体"/>
                <w:color w:val="000000"/>
                <w:sz w:val="24"/>
                <w:lang w:val="en-US" w:eastAsia="zh-CN"/>
              </w:rPr>
              <w:t xml:space="preserve">  森林病虫害测控与防治</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55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林业局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1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jc w:val="center"/>
              <w:rPr>
                <w:rFonts w:hint="eastAsia"/>
                <w:lang w:val="en-US" w:eastAsia="zh-CN"/>
              </w:rPr>
            </w:pPr>
            <w:r>
              <w:rPr>
                <w:rFonts w:hint="eastAsia"/>
                <w:lang w:val="en-US" w:eastAsia="zh-CN"/>
              </w:rPr>
              <w:t>40</w:t>
            </w:r>
          </w:p>
        </w:tc>
        <w:tc>
          <w:tcPr>
            <w:tcW w:w="2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rPr>
                <w:rFonts w:hint="eastAsia"/>
                <w:lang w:val="en-US" w:eastAsia="zh-CN"/>
              </w:rPr>
            </w:pPr>
            <w:r>
              <w:rPr>
                <w:rFonts w:hint="eastAsia"/>
                <w:lang w:val="en-US" w:eastAsia="zh-CN"/>
              </w:rPr>
              <w:t>40</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40</w:t>
            </w:r>
          </w:p>
        </w:tc>
        <w:tc>
          <w:tcPr>
            <w:tcW w:w="2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40</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37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2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37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numPr>
                <w:ilvl w:val="0"/>
                <w:numId w:val="5"/>
              </w:numPr>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完成镇龙山国家森林公园范围调整及总体规划修编。</w:t>
            </w:r>
          </w:p>
          <w:p>
            <w:pPr>
              <w:pStyle w:val="2"/>
              <w:numPr>
                <w:ilvl w:val="0"/>
                <w:numId w:val="5"/>
              </w:numPr>
              <w:rPr>
                <w:rFonts w:hint="eastAsia"/>
                <w:lang w:val="en-US" w:eastAsia="zh-CN"/>
              </w:rPr>
            </w:pPr>
            <w:r>
              <w:rPr>
                <w:rFonts w:hint="eastAsia" w:ascii="宋体" w:hAnsi="宋体" w:eastAsia="宋体" w:cs="宋体"/>
                <w:sz w:val="24"/>
                <w:szCs w:val="24"/>
              </w:rPr>
              <w:t>通过清理病死树以及综合治理媒介昆虫，有效地遏制松材线虫病扩散蔓延</w:t>
            </w:r>
          </w:p>
        </w:tc>
        <w:tc>
          <w:tcPr>
            <w:tcW w:w="42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numPr>
                <w:ilvl w:val="0"/>
                <w:numId w:val="0"/>
              </w:numPr>
              <w:jc w:val="both"/>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完成镇龙山国家森林公园范围调整及总体规划修编。</w:t>
            </w:r>
          </w:p>
          <w:p>
            <w:pPr>
              <w:widowControl/>
              <w:jc w:val="both"/>
              <w:textAlignment w:val="center"/>
              <w:rPr>
                <w:rFonts w:ascii="宋体" w:hAnsi="宋体" w:cs="宋体"/>
                <w:color w:val="000000"/>
                <w:sz w:val="24"/>
              </w:rPr>
            </w:pPr>
            <w:r>
              <w:rPr>
                <w:rFonts w:hint="eastAsia" w:ascii="宋体" w:hAnsi="宋体" w:cs="宋体"/>
                <w:sz w:val="24"/>
                <w:szCs w:val="24"/>
                <w:lang w:val="en-US" w:eastAsia="zh-CN"/>
              </w:rPr>
              <w:t>2、</w:t>
            </w:r>
            <w:r>
              <w:rPr>
                <w:rFonts w:hint="eastAsia" w:ascii="宋体" w:hAnsi="宋体" w:eastAsia="宋体" w:cs="宋体"/>
                <w:sz w:val="24"/>
                <w:szCs w:val="24"/>
              </w:rPr>
              <w:t>通过清理病死树以及综合治理媒介昆虫，有效地遏制松材线虫病扩散蔓延</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1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1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镇龙山森林公园总规</w:t>
            </w:r>
          </w:p>
        </w:tc>
        <w:tc>
          <w:tcPr>
            <w:tcW w:w="2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eastAsia="宋体" w:cs="宋体"/>
                <w:color w:val="000000"/>
                <w:sz w:val="24"/>
                <w:lang w:val="en-US" w:eastAsia="zh-CN"/>
              </w:rPr>
            </w:pPr>
            <w:r>
              <w:rPr>
                <w:rFonts w:hint="eastAsia" w:ascii="宋体" w:hAnsi="宋体" w:cs="宋体"/>
                <w:color w:val="000000"/>
                <w:sz w:val="24"/>
                <w:lang w:eastAsia="zh-CN"/>
              </w:rPr>
              <w:t>范围调整及总规修编</w:t>
            </w:r>
            <w:r>
              <w:rPr>
                <w:rFonts w:hint="eastAsia" w:ascii="宋体" w:hAnsi="宋体" w:cs="宋体"/>
                <w:color w:val="000000"/>
                <w:sz w:val="24"/>
                <w:lang w:val="en-US" w:eastAsia="zh-CN"/>
              </w:rPr>
              <w:t>1套</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范围调整及总规修编</w:t>
            </w:r>
            <w:r>
              <w:rPr>
                <w:rFonts w:hint="eastAsia" w:ascii="宋体" w:hAnsi="宋体" w:cs="宋体"/>
                <w:color w:val="000000"/>
                <w:sz w:val="24"/>
                <w:lang w:val="en-US" w:eastAsia="zh-CN"/>
              </w:rPr>
              <w:t>1套</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数量指标</w:t>
            </w:r>
          </w:p>
        </w:tc>
        <w:tc>
          <w:tcPr>
            <w:tcW w:w="1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松材线虫测控面积</w:t>
            </w:r>
          </w:p>
        </w:tc>
        <w:tc>
          <w:tcPr>
            <w:tcW w:w="2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rPr>
              <w:t>≥</w:t>
            </w:r>
            <w:r>
              <w:rPr>
                <w:rFonts w:hint="eastAsia" w:ascii="宋体" w:hAnsi="宋体" w:cs="宋体"/>
                <w:color w:val="000000"/>
                <w:sz w:val="24"/>
                <w:lang w:val="en-US" w:eastAsia="zh-CN"/>
              </w:rPr>
              <w:t>20万亩</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sz w:val="24"/>
              </w:rPr>
              <w:t>≥</w:t>
            </w:r>
            <w:r>
              <w:rPr>
                <w:rFonts w:hint="eastAsia" w:ascii="宋体" w:hAnsi="宋体" w:cs="宋体"/>
                <w:color w:val="000000"/>
                <w:sz w:val="24"/>
                <w:lang w:val="en-US" w:eastAsia="zh-CN"/>
              </w:rPr>
              <w:t>20万亩</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数量指标</w:t>
            </w:r>
          </w:p>
        </w:tc>
        <w:tc>
          <w:tcPr>
            <w:tcW w:w="1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松材线虫除治面积</w:t>
            </w:r>
          </w:p>
        </w:tc>
        <w:tc>
          <w:tcPr>
            <w:tcW w:w="2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sz w:val="24"/>
              </w:rPr>
              <w:t>≥</w:t>
            </w:r>
            <w:r>
              <w:rPr>
                <w:rFonts w:hint="eastAsia" w:ascii="宋体" w:hAnsi="宋体" w:cs="宋体"/>
                <w:color w:val="000000"/>
                <w:sz w:val="24"/>
                <w:lang w:val="en-US" w:eastAsia="zh-CN"/>
              </w:rPr>
              <w:t>10万亩</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sz w:val="24"/>
              </w:rPr>
              <w:t>≥</w:t>
            </w:r>
            <w:r>
              <w:rPr>
                <w:rFonts w:hint="eastAsia" w:ascii="宋体" w:hAnsi="宋体" w:cs="宋体"/>
                <w:color w:val="000000"/>
                <w:sz w:val="24"/>
                <w:lang w:val="en-US" w:eastAsia="zh-CN"/>
              </w:rPr>
              <w:t>10万亩</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1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预算执行率</w:t>
            </w:r>
          </w:p>
        </w:tc>
        <w:tc>
          <w:tcPr>
            <w:tcW w:w="2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100%</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时效指标</w:t>
            </w:r>
          </w:p>
        </w:tc>
        <w:tc>
          <w:tcPr>
            <w:tcW w:w="1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完成时间</w:t>
            </w:r>
          </w:p>
        </w:tc>
        <w:tc>
          <w:tcPr>
            <w:tcW w:w="2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2019年12月31日前</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2019年12月31日前</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经济效益</w:t>
            </w:r>
          </w:p>
        </w:tc>
        <w:tc>
          <w:tcPr>
            <w:tcW w:w="1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促进平昌经济发展</w:t>
            </w:r>
          </w:p>
        </w:tc>
        <w:tc>
          <w:tcPr>
            <w:tcW w:w="2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有效促进</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有效促进</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社会效益</w:t>
            </w:r>
          </w:p>
        </w:tc>
        <w:tc>
          <w:tcPr>
            <w:tcW w:w="1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促进林业健康发展</w:t>
            </w:r>
          </w:p>
        </w:tc>
        <w:tc>
          <w:tcPr>
            <w:tcW w:w="2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有效促进</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有效促进</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生态效益</w:t>
            </w:r>
          </w:p>
        </w:tc>
        <w:tc>
          <w:tcPr>
            <w:tcW w:w="1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保障全县森林覆盖率</w:t>
            </w:r>
          </w:p>
        </w:tc>
        <w:tc>
          <w:tcPr>
            <w:tcW w:w="2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lang w:val="en-US"/>
              </w:rPr>
            </w:pPr>
            <w:r>
              <w:rPr>
                <w:rFonts w:hint="eastAsia" w:ascii="宋体" w:hAnsi="宋体" w:eastAsia="宋体" w:cs="宋体"/>
                <w:color w:val="000000"/>
                <w:sz w:val="24"/>
              </w:rPr>
              <w:t>≥</w:t>
            </w:r>
            <w:r>
              <w:rPr>
                <w:rFonts w:hint="eastAsia" w:ascii="宋体" w:hAnsi="宋体" w:cs="宋体"/>
                <w:color w:val="000000"/>
                <w:sz w:val="24"/>
                <w:lang w:val="en-US" w:eastAsia="zh-CN"/>
              </w:rPr>
              <w:t>43%</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sz w:val="24"/>
              </w:rPr>
              <w:t>≥</w:t>
            </w:r>
            <w:r>
              <w:rPr>
                <w:rFonts w:hint="eastAsia" w:ascii="宋体" w:hAnsi="宋体" w:cs="宋体"/>
                <w:color w:val="000000"/>
                <w:sz w:val="24"/>
                <w:lang w:val="en-US" w:eastAsia="zh-CN"/>
              </w:rPr>
              <w:t>43%</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可持续影响</w:t>
            </w:r>
          </w:p>
        </w:tc>
        <w:tc>
          <w:tcPr>
            <w:tcW w:w="1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保持生态平衡</w:t>
            </w:r>
          </w:p>
        </w:tc>
        <w:tc>
          <w:tcPr>
            <w:tcW w:w="2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lang w:val="en-US"/>
              </w:rPr>
            </w:pPr>
            <w:r>
              <w:rPr>
                <w:rFonts w:hint="eastAsia" w:ascii="宋体" w:hAnsi="宋体" w:eastAsia="宋体" w:cs="宋体"/>
                <w:color w:val="000000"/>
                <w:sz w:val="24"/>
              </w:rPr>
              <w:t>≥</w:t>
            </w:r>
            <w:r>
              <w:rPr>
                <w:rFonts w:hint="eastAsia" w:ascii="宋体" w:hAnsi="宋体" w:cs="宋体"/>
                <w:color w:val="000000"/>
                <w:sz w:val="24"/>
                <w:lang w:val="en-US" w:eastAsia="zh-CN"/>
              </w:rPr>
              <w:t>10年</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sz w:val="24"/>
              </w:rPr>
              <w:t>≥</w:t>
            </w:r>
            <w:r>
              <w:rPr>
                <w:rFonts w:hint="eastAsia" w:ascii="宋体" w:hAnsi="宋体" w:cs="宋体"/>
                <w:color w:val="000000"/>
                <w:sz w:val="24"/>
                <w:lang w:val="en-US" w:eastAsia="zh-CN"/>
              </w:rPr>
              <w:t>10年</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服务对象满意度</w:t>
            </w:r>
          </w:p>
        </w:tc>
        <w:tc>
          <w:tcPr>
            <w:tcW w:w="1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服务对象满意度</w:t>
            </w:r>
          </w:p>
        </w:tc>
        <w:tc>
          <w:tcPr>
            <w:tcW w:w="2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sz w:val="24"/>
              </w:rPr>
              <w:t>≥</w:t>
            </w:r>
            <w:r>
              <w:rPr>
                <w:rFonts w:hint="eastAsia" w:ascii="宋体" w:hAnsi="宋体" w:cs="宋体"/>
                <w:color w:val="000000"/>
                <w:sz w:val="24"/>
                <w:lang w:val="en-US" w:eastAsia="zh-CN"/>
              </w:rPr>
              <w:t>93%</w:t>
            </w:r>
          </w:p>
        </w:tc>
        <w:tc>
          <w:tcPr>
            <w:tcW w:w="1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sz w:val="24"/>
              </w:rPr>
              <w:t>≥</w:t>
            </w:r>
            <w:r>
              <w:rPr>
                <w:rFonts w:hint="eastAsia" w:ascii="宋体" w:hAnsi="宋体" w:cs="宋体"/>
                <w:color w:val="000000"/>
                <w:sz w:val="24"/>
                <w:lang w:val="en-US" w:eastAsia="zh-CN"/>
              </w:rPr>
              <w:t>93%</w:t>
            </w:r>
          </w:p>
        </w:tc>
      </w:tr>
    </w:tbl>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平昌县林业局</w:t>
      </w:r>
      <w:r>
        <w:rPr>
          <w:rFonts w:hint="eastAsia" w:ascii="仿宋_GB2312" w:hAnsi="仿宋_GB2312" w:eastAsia="仿宋_GB2312" w:cs="仿宋_GB2312"/>
          <w:sz w:val="32"/>
          <w:szCs w:val="32"/>
        </w:rPr>
        <w:t>部门2019年部门整体支出绩效评价报告》见附件（附件1）。</w:t>
      </w:r>
    </w:p>
    <w:p>
      <w:pPr>
        <w:pStyle w:val="2"/>
        <w:rPr>
          <w:rFonts w:hint="default" w:ascii="仿宋_GB2312" w:hAnsi="仿宋_GB2312" w:eastAsia="仿宋_GB2312" w:cs="仿宋_GB2312"/>
          <w:sz w:val="32"/>
          <w:szCs w:val="32"/>
          <w:lang w:val="en-US" w:eastAsia="zh-CN"/>
        </w:rPr>
      </w:pPr>
      <w:r>
        <w:rPr>
          <w:rFonts w:hint="eastAsia" w:hAnsi="仿宋_GB2312" w:cs="仿宋_GB2312"/>
          <w:sz w:val="32"/>
          <w:szCs w:val="32"/>
          <w:lang w:val="en-US" w:eastAsia="zh-CN"/>
        </w:rPr>
        <w:t xml:space="preserve">     本部门未开展项目绩效评价。</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ageBreakBefore w:val="0"/>
        <w:numPr>
          <w:ilvl w:val="0"/>
          <w:numId w:val="6"/>
        </w:numPr>
        <w:kinsoku/>
        <w:wordWrap/>
        <w:overflowPunct/>
        <w:topLinePunct w:val="0"/>
        <w:bidi w:val="0"/>
        <w:spacing w:line="560" w:lineRule="exact"/>
        <w:ind w:firstLine="663" w:firstLineChars="150"/>
        <w:jc w:val="center"/>
        <w:outlineLvl w:val="0"/>
        <w:rPr>
          <w:rStyle w:val="15"/>
          <w:rFonts w:hint="default" w:ascii="Times New Roman" w:hAnsi="Times New Roman" w:eastAsia="黑体" w:cs="Times New Roman"/>
          <w:b w:val="0"/>
        </w:rPr>
      </w:pPr>
      <w:bookmarkStart w:id="41" w:name="_Toc15377225"/>
      <w:bookmarkStart w:id="42" w:name="_Toc15396613"/>
      <w:r>
        <w:rPr>
          <w:rFonts w:hint="default" w:ascii="Times New Roman" w:hAnsi="Times New Roman" w:eastAsia="黑体" w:cs="Times New Roman"/>
          <w:b/>
          <w:color w:val="000000"/>
          <w:sz w:val="44"/>
          <w:szCs w:val="44"/>
        </w:rPr>
        <w:t>名</w:t>
      </w:r>
      <w:r>
        <w:rPr>
          <w:rStyle w:val="15"/>
          <w:rFonts w:hint="default" w:ascii="Times New Roman" w:hAnsi="Times New Roman" w:eastAsia="黑体" w:cs="Times New Roman"/>
          <w:b w:val="0"/>
        </w:rPr>
        <w:t>词解释</w:t>
      </w:r>
      <w:bookmarkEnd w:id="41"/>
      <w:bookmarkEnd w:id="42"/>
    </w:p>
    <w:p>
      <w:pPr>
        <w:spacing w:line="600" w:lineRule="exact"/>
        <w:jc w:val="both"/>
        <w:rPr>
          <w:rFonts w:hint="eastAsia" w:ascii="仿宋_GB2312" w:hAnsi="仿宋_GB2312" w:eastAsia="仿宋_GB2312" w:cs="仿宋_GB2312"/>
          <w:b/>
          <w:bCs/>
          <w:sz w:val="32"/>
          <w:szCs w:val="32"/>
          <w:lang w:eastAsia="zh-CN"/>
        </w:rPr>
      </w:pPr>
    </w:p>
    <w:p>
      <w:pPr>
        <w:pStyle w:val="18"/>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1.财政拨款收入：指</w:t>
      </w:r>
      <w:r>
        <w:rPr>
          <w:rFonts w:hint="eastAsia" w:ascii="仿宋_GB2312" w:eastAsia="仿宋_GB2312"/>
          <w:sz w:val="32"/>
          <w:szCs w:val="32"/>
          <w:lang w:eastAsia="zh-CN"/>
        </w:rPr>
        <w:t>平昌县林业局</w:t>
      </w:r>
      <w:r>
        <w:rPr>
          <w:rFonts w:hint="eastAsia" w:ascii="仿宋_GB2312" w:eastAsia="仿宋_GB2312"/>
          <w:sz w:val="32"/>
          <w:szCs w:val="32"/>
        </w:rPr>
        <w:t>从同级财政部门取得的财政预算资金。</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 xml:space="preserve">.项目支出：指在基本支出之外为完成特定行政任务和事业发展目标所发生的支出。 </w:t>
      </w:r>
    </w:p>
    <w:p>
      <w:pPr>
        <w:pStyle w:val="18"/>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8"/>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8"/>
        <w:spacing w:line="560" w:lineRule="exact"/>
        <w:ind w:firstLine="640" w:firstLineChars="200"/>
        <w:rPr>
          <w:rFonts w:hint="eastAsia" w:ascii="仿宋_GB2312" w:eastAsia="仿宋_GB2312"/>
          <w:sz w:val="32"/>
          <w:szCs w:val="32"/>
        </w:rPr>
      </w:pPr>
    </w:p>
    <w:p>
      <w:pPr>
        <w:pStyle w:val="18"/>
        <w:spacing w:line="560" w:lineRule="exact"/>
        <w:ind w:firstLine="640" w:firstLineChars="200"/>
        <w:rPr>
          <w:rFonts w:hint="eastAsia" w:ascii="仿宋_GB2312" w:eastAsia="仿宋_GB2312"/>
          <w:sz w:val="32"/>
          <w:szCs w:val="32"/>
        </w:rPr>
      </w:pPr>
    </w:p>
    <w:p>
      <w:pPr>
        <w:spacing w:line="600" w:lineRule="exact"/>
        <w:jc w:val="center"/>
        <w:outlineLvl w:val="0"/>
        <w:rPr>
          <w:rStyle w:val="15"/>
          <w:rFonts w:ascii="黑体" w:hAnsi="黑体" w:eastAsia="黑体"/>
          <w:b w:val="0"/>
        </w:rPr>
      </w:pPr>
      <w:r>
        <w:rPr>
          <w:rFonts w:hint="eastAsia" w:ascii="黑体" w:hAnsi="黑体" w:eastAsia="黑体"/>
          <w:color w:val="000000"/>
          <w:sz w:val="44"/>
          <w:szCs w:val="44"/>
        </w:rPr>
        <w:t>第</w:t>
      </w:r>
      <w:r>
        <w:rPr>
          <w:rStyle w:val="15"/>
          <w:rFonts w:hint="eastAsia" w:ascii="黑体" w:hAnsi="黑体" w:eastAsia="黑体"/>
          <w:b w:val="0"/>
        </w:rPr>
        <w:t>四部分 附件</w:t>
      </w:r>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eastAsia="zh-CN"/>
        </w:rPr>
        <w:t>平昌县林业局</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w:t>
      </w: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val="zh-CN"/>
        </w:rPr>
        <w:t>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spacing w:line="560" w:lineRule="exact"/>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hAnsi="仿宋_GB2312" w:eastAsia="仿宋_GB2312" w:cs="仿宋_GB2312"/>
          <w:sz w:val="32"/>
          <w:szCs w:val="32"/>
        </w:rPr>
        <w:t>平昌县林业局是平昌县人民政府组成部门，主要从事全县林业发展和林业生产建设的行政管理工作部门，下设镇龙山国家森林公园管理处、森林病虫害防治检疫站(参公管理单位)、林政稽查大队(执法主体资格事业单位)、天然林保护工程管理站、林木种苗管理站(执法主体资格事业单位)、驷马湿地公园管理局、林产品发展中心等机构，纳入林业局统一核算</w:t>
      </w:r>
      <w:r>
        <w:rPr>
          <w:rFonts w:hint="eastAsia" w:ascii="仿宋_GB2312" w:hAnsi="仿宋_GB2312" w:eastAsia="仿宋_GB2312" w:cs="仿宋_GB2312"/>
          <w:sz w:val="32"/>
          <w:szCs w:val="32"/>
          <w:lang w:val="en-US" w:eastAsia="zh-CN"/>
        </w:rPr>
        <w:t>;独立核算单位2个（平昌县森林公安局、平昌县国营苗圃）。</w:t>
      </w:r>
      <w:r>
        <w:rPr>
          <w:rFonts w:hint="eastAsia" w:ascii="仿宋_GB2312" w:hAnsi="仿宋_GB2312" w:eastAsia="仿宋_GB2312" w:cs="仿宋_GB2312"/>
          <w:sz w:val="32"/>
          <w:szCs w:val="32"/>
        </w:rPr>
        <w:t>核定编制1</w:t>
      </w: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人（其中行政公务员编制17人、参照公务员编制19人、机关工勤编制6人、全额供给事业编制</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人），在职人员</w:t>
      </w:r>
      <w:r>
        <w:rPr>
          <w:rFonts w:hint="eastAsia" w:ascii="仿宋_GB2312" w:hAnsi="仿宋_GB2312" w:eastAsia="仿宋_GB2312" w:cs="仿宋_GB2312"/>
          <w:sz w:val="32"/>
          <w:szCs w:val="32"/>
          <w:lang w:val="en-US" w:eastAsia="zh-CN"/>
        </w:rPr>
        <w:t>129</w:t>
      </w:r>
      <w:r>
        <w:rPr>
          <w:rFonts w:hint="eastAsia" w:ascii="仿宋_GB2312" w:hAnsi="仿宋_GB2312" w:eastAsia="仿宋_GB2312" w:cs="仿宋_GB2312"/>
          <w:sz w:val="32"/>
          <w:szCs w:val="32"/>
        </w:rPr>
        <w:t>人（其中行政公务员人数17人、参照公务员人数13人、机关工勤人数6人、事业工勤人数6人、全额供给事业人数</w:t>
      </w:r>
      <w:r>
        <w:rPr>
          <w:rFonts w:hint="eastAsia" w:ascii="仿宋_GB2312" w:hAnsi="仿宋_GB2312" w:eastAsia="仿宋_GB2312" w:cs="仿宋_GB2312"/>
          <w:sz w:val="32"/>
          <w:szCs w:val="32"/>
          <w:lang w:val="en-US" w:eastAsia="zh-CN"/>
        </w:rPr>
        <w:t>87</w:t>
      </w:r>
      <w:r>
        <w:rPr>
          <w:rFonts w:hint="eastAsia" w:ascii="仿宋_GB2312" w:hAnsi="仿宋_GB2312" w:eastAsia="仿宋_GB2312" w:cs="仿宋_GB2312"/>
          <w:sz w:val="32"/>
          <w:szCs w:val="32"/>
        </w:rPr>
        <w:t>人），抚育抚养人数12人。</w:t>
      </w:r>
    </w:p>
    <w:p>
      <w:pPr>
        <w:widowControl/>
        <w:numPr>
          <w:ilvl w:val="0"/>
          <w:numId w:val="7"/>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pPr>
        <w:widowControl/>
        <w:adjustRightInd w:val="0"/>
        <w:snapToGrid w:val="0"/>
        <w:spacing w:line="540" w:lineRule="exact"/>
        <w:ind w:firstLine="720"/>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仿宋" w:eastAsia="仿宋_GB2312"/>
          <w:sz w:val="32"/>
          <w:szCs w:val="32"/>
          <w:lang w:eastAsia="zh-CN"/>
        </w:rPr>
        <w:t>平昌县</w:t>
      </w:r>
      <w:r>
        <w:rPr>
          <w:rFonts w:hint="eastAsia" w:ascii="仿宋_GB2312" w:hAnsi="仿宋" w:eastAsia="仿宋_GB2312"/>
          <w:sz w:val="32"/>
          <w:szCs w:val="32"/>
        </w:rPr>
        <w:t>林业局负责全县林业及其生态建设的监督管理；组织、协调、指导和监督全县造林绿化工作、湿地保护工作、荒漠化防治工作、森林防火工作；负责管理全县森林资源的保护与发展，负责全县陆生野生动植物的保护管理及合理开发利用；承担推进全县林业改革，维护农民和其他经营者经营林业合法权益的责任；监督检查全县各产业对森林、生态旅游、湿地、荒漠和陆生野生动植物资源的开发利用；负责指导、协调全县的林业经济工作；承担县政府公布的有关行政审批事项。</w:t>
      </w:r>
    </w:p>
    <w:p>
      <w:pPr>
        <w:widowControl/>
        <w:numPr>
          <w:ilvl w:val="0"/>
          <w:numId w:val="7"/>
        </w:numPr>
        <w:adjustRightInd w:val="0"/>
        <w:snapToGrid w:val="0"/>
        <w:spacing w:line="580" w:lineRule="exact"/>
        <w:ind w:left="0" w:lef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人员概况。</w:t>
      </w:r>
    </w:p>
    <w:p>
      <w:pPr>
        <w:widowControl/>
        <w:adjustRightInd w:val="0"/>
        <w:snapToGrid w:val="0"/>
        <w:spacing w:line="540" w:lineRule="exact"/>
        <w:ind w:firstLine="720"/>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仿宋_GB2312" w:eastAsia="仿宋_GB2312" w:cs="仿宋_GB2312"/>
          <w:b w:val="0"/>
          <w:bCs w:val="0"/>
          <w:color w:val="000000"/>
          <w:kern w:val="0"/>
          <w:sz w:val="32"/>
          <w:szCs w:val="32"/>
          <w:shd w:val="clear" w:color="auto" w:fill="FFFFFF"/>
          <w:lang w:val="zh-CN"/>
        </w:rPr>
        <w:t>县林业局机关</w:t>
      </w:r>
      <w:r>
        <w:rPr>
          <w:rFonts w:hint="eastAsia" w:ascii="仿宋_GB2312" w:hAnsi="仿宋_GB2312" w:eastAsia="仿宋_GB2312" w:cs="仿宋_GB2312"/>
          <w:b w:val="0"/>
          <w:bCs w:val="0"/>
          <w:color w:val="000000"/>
          <w:kern w:val="0"/>
          <w:sz w:val="32"/>
          <w:szCs w:val="32"/>
          <w:shd w:val="clear" w:color="auto" w:fill="FFFFFF"/>
          <w:lang w:val="en-US" w:eastAsia="zh-CN"/>
        </w:rPr>
        <w:t>2017年核定编制141人，其中：行政单位1个，人员编制17人，行政工勤3人；参公管理单位1个，编制数19人，工勤3人；事业单位6个，人员编制99人。2017年末实有在职人数129人，其中：行政人员17人，行政工勤2人，参公管理人员13人，工勤4人，事业人员93人。</w:t>
      </w:r>
      <w:r>
        <w:rPr>
          <w:rFonts w:hint="eastAsia" w:ascii="仿宋_GB2312" w:hAnsi="仿宋_GB2312" w:eastAsia="仿宋_GB2312" w:cs="仿宋_GB2312"/>
          <w:sz w:val="32"/>
          <w:szCs w:val="32"/>
          <w:lang w:eastAsia="zh-CN"/>
        </w:rPr>
        <w:t>平昌县森林公安局核定</w:t>
      </w:r>
      <w:r>
        <w:rPr>
          <w:rFonts w:hint="eastAsia" w:ascii="仿宋_GB2312" w:hAnsi="仿宋_GB2312" w:eastAsia="仿宋_GB2312" w:cs="仿宋_GB2312"/>
          <w:sz w:val="32"/>
          <w:szCs w:val="32"/>
        </w:rPr>
        <w:t>行政编制数12人，工勤编制数3人。实有在职人员16人，其中干警11人、工勤3人、借调事业编制人员2人。</w:t>
      </w:r>
      <w:r>
        <w:rPr>
          <w:rFonts w:hint="eastAsia" w:ascii="仿宋_GB2312" w:hAnsi="仿宋_GB2312" w:eastAsia="仿宋_GB2312" w:cs="仿宋_GB2312"/>
          <w:sz w:val="32"/>
          <w:szCs w:val="32"/>
          <w:lang w:eastAsia="zh-CN"/>
        </w:rPr>
        <w:t>平昌县国营苗圃</w:t>
      </w:r>
      <w:r>
        <w:rPr>
          <w:rFonts w:hint="eastAsia" w:ascii="仿宋_GB2312" w:hAnsi="仿宋_GB2312" w:eastAsia="仿宋_GB2312" w:cs="仿宋_GB2312"/>
          <w:color w:val="000000"/>
          <w:sz w:val="32"/>
          <w:szCs w:val="32"/>
          <w:lang w:eastAsia="zh-CN"/>
        </w:rPr>
        <w:t>现有事业编制职工</w:t>
      </w:r>
      <w:r>
        <w:rPr>
          <w:rFonts w:hint="eastAsia" w:ascii="仿宋_GB2312" w:hAnsi="仿宋_GB2312" w:eastAsia="仿宋_GB2312" w:cs="仿宋_GB2312"/>
          <w:color w:val="000000"/>
          <w:sz w:val="32"/>
          <w:szCs w:val="32"/>
          <w:lang w:val="en-US" w:eastAsia="zh-CN"/>
        </w:rPr>
        <w:t>14人，退休人员19人。</w:t>
      </w:r>
      <w:r>
        <w:rPr>
          <w:rFonts w:hint="eastAsia" w:ascii="仿宋_GB2312" w:hAnsi="仿宋_GB2312" w:eastAsia="仿宋_GB2312" w:cs="仿宋_GB2312"/>
          <w:b w:val="0"/>
          <w:bCs w:val="0"/>
          <w:color w:val="000000"/>
          <w:kern w:val="0"/>
          <w:sz w:val="32"/>
          <w:szCs w:val="32"/>
          <w:shd w:val="clear" w:color="auto" w:fill="FFFFFF"/>
          <w:lang w:val="en-US" w:eastAsia="zh-CN"/>
        </w:rPr>
        <w:t>无编无供0人。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40" w:lineRule="exact"/>
        <w:ind w:firstLine="72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（一）部门财政资金收入情况。</w:t>
      </w:r>
      <w:r>
        <w:rPr>
          <w:rFonts w:hint="eastAsia" w:ascii="仿宋_GB2312" w:hAnsi="仿宋_GB2312" w:eastAsia="仿宋_GB2312" w:cs="仿宋_GB2312"/>
          <w:sz w:val="32"/>
          <w:szCs w:val="32"/>
          <w:lang w:val="en-US" w:eastAsia="zh-CN"/>
        </w:rPr>
        <w:t>2019年林业部门财政拨款收入11861.59万元。其中：林业局机关一般公共预算财政拨款收入10721.59万元，政府性基金预算财政拨款收入576万元；森林公安局一般公共预算财政拨款收入200.69万元；国营平昌苗圃一般公共预算财政拨款收入160.32万元。</w:t>
      </w:r>
    </w:p>
    <w:p>
      <w:pPr>
        <w:widowControl/>
        <w:adjustRightInd w:val="0"/>
        <w:snapToGrid w:val="0"/>
        <w:spacing w:line="540" w:lineRule="exact"/>
        <w:ind w:firstLine="72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（二）部门财政资金支出情况。</w:t>
      </w:r>
      <w:r>
        <w:rPr>
          <w:rFonts w:hint="eastAsia" w:ascii="仿宋_GB2312" w:hAnsi="仿宋_GB2312" w:eastAsia="仿宋_GB2312" w:cs="仿宋_GB2312"/>
          <w:sz w:val="32"/>
          <w:szCs w:val="32"/>
          <w:lang w:val="en-US" w:eastAsia="zh-CN"/>
        </w:rPr>
        <w:t>2019年度县林业局财政拨款支出决算数12222.60万元，其中：一般公共预算财政拨款支出11082.60万元，政府性基金预算财政拨款支出1140万元。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zh-CN" w:eastAsia="zh-CN" w:bidi="ar-SA"/>
        </w:rPr>
        <w:t>抓好绩效目标编制工作。根据“谁申请资金，谁编制目标”的原则，按照财政局统一要求，在编制201</w:t>
      </w:r>
      <w:r>
        <w:rPr>
          <w:rFonts w:hint="eastAsia" w:ascii="仿宋_GB2312" w:hAnsi="仿宋_GB2312" w:eastAsia="仿宋_GB2312" w:cs="仿宋_GB2312"/>
          <w:kern w:val="2"/>
          <w:sz w:val="32"/>
          <w:szCs w:val="32"/>
          <w:lang w:val="en-US" w:eastAsia="zh-CN" w:bidi="ar-SA"/>
        </w:rPr>
        <w:t>9</w:t>
      </w:r>
      <w:r>
        <w:rPr>
          <w:rFonts w:hint="eastAsia" w:ascii="仿宋_GB2312" w:hAnsi="仿宋_GB2312" w:eastAsia="仿宋_GB2312" w:cs="仿宋_GB2312"/>
          <w:kern w:val="2"/>
          <w:sz w:val="32"/>
          <w:szCs w:val="32"/>
          <w:lang w:val="zh-CN" w:eastAsia="zh-CN" w:bidi="ar-SA"/>
        </w:rPr>
        <w:t>年县本级部门及所属单位部门预算时，按照《预算法》和预算绩效管理要求编制部门整体支出绩效目标。预算绩效管理实行预算单位全覆盖，预算项目自我评价全覆盖。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zh-CN" w:eastAsia="zh-CN" w:bidi="ar-SA"/>
        </w:rPr>
        <w:t>深入开展财政预算支出绩效评价，对部门支出资金实施绩效自评和核查，在此基础上形成自评报告。</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zh-CN" w:eastAsia="zh-CN" w:bidi="ar-SA"/>
        </w:rPr>
        <w:t>强化评价结果应用，组织绩效自评和绩效跟踪监控，对发现的问题及时改进，加强评价结果与资金安排的衔接。</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spacing w:before="255" w:beforeAutospacing="0" w:after="255" w:afterAutospacing="0"/>
        <w:ind w:left="0" w:right="0" w:firstLine="63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2019年，平昌县林业局积极履职，强化管理，较好地完成了年度工作目标。通过加强预算收支绩效管理，不断建立健全内部控制管理制度，梳理内部管理流程，部门预算整体支出管理水平得到了提升。但也存在一些不足之处：如预算编制工作不够细化；预算管理意识有待增强；财务人员业务知识有待更新等。下一步我单位将从以下几个方面进行改进：一是细化预算编制工作，认真做好预算的编制。进一步加强单位内部机构各股室的预算管理意识，严格按照预算编制的相关制度和要求进行预算编制。二是加强财务管理，严格财务审核。加强单位财务管理，健全单位财务管理制度体系，规范单位财务行为。三是完善资产管理，抓好“三公”经费控制。严格编制政府采购年初预算和计划，规范各类资产的购置审批制度、资产采购制度、使用管理制度、资产处理和报废审批制度、资产管理岗职责制度等，加强单位内部的资产管理工作。严格控制“三公”经费的规模和比例，把关“三公”经费支出的审核、审批，杜绝挪用和挤占其他预算资金行为；进一步细化“三公”经费的管理，合理压缩“三公”经费支出。四是对相关人员加强培训，特别是针对《预算法》、《政府会计制度》等学习培训，规范部门预算收支核算，切实提高部门预算收支管理水平。</w:t>
      </w:r>
    </w:p>
    <w:p>
      <w:pPr>
        <w:pStyle w:val="3"/>
        <w:jc w:val="both"/>
        <w:rPr>
          <w:rFonts w:hint="eastAsia"/>
          <w:color w:val="000000"/>
        </w:rPr>
      </w:pPr>
      <w:bookmarkStart w:id="43" w:name="_Toc54165023"/>
    </w:p>
    <w:p>
      <w:pPr>
        <w:rPr>
          <w:rFonts w:hint="eastAsia"/>
          <w:color w:val="000000"/>
        </w:rPr>
      </w:pPr>
    </w:p>
    <w:p>
      <w:pPr>
        <w:pStyle w:val="2"/>
        <w:rPr>
          <w:rFonts w:hint="eastAsia"/>
          <w:color w:val="000000"/>
        </w:rPr>
      </w:pPr>
    </w:p>
    <w:p>
      <w:pPr>
        <w:pStyle w:val="2"/>
        <w:rPr>
          <w:rFonts w:hint="eastAsia"/>
          <w:color w:val="000000"/>
        </w:rPr>
      </w:pPr>
    </w:p>
    <w:p>
      <w:pPr>
        <w:pStyle w:val="3"/>
        <w:ind w:firstLine="2650" w:firstLineChars="600"/>
        <w:jc w:val="both"/>
        <w:rPr>
          <w:rFonts w:ascii="仿宋" w:hAnsi="仿宋"/>
          <w:b/>
          <w:color w:val="000000"/>
          <w:sz w:val="44"/>
          <w:szCs w:val="44"/>
        </w:rPr>
      </w:pPr>
      <w:r>
        <w:rPr>
          <w:rFonts w:hint="eastAsia"/>
          <w:color w:val="000000"/>
        </w:rPr>
        <w:t>第</w:t>
      </w:r>
      <w:r>
        <w:rPr>
          <w:rStyle w:val="15"/>
          <w:rFonts w:hint="eastAsia" w:ascii="黑体" w:hAnsi="黑体" w:eastAsia="黑体"/>
          <w:b w:val="0"/>
          <w:bCs w:val="0"/>
        </w:rPr>
        <w:t>五部分 附表</w:t>
      </w:r>
      <w:bookmarkEnd w:id="43"/>
    </w:p>
    <w:p>
      <w:pPr>
        <w:pStyle w:val="4"/>
        <w:rPr>
          <w:rStyle w:val="16"/>
          <w:rFonts w:ascii="仿宋" w:hAnsi="仿宋" w:eastAsia="仿宋"/>
          <w:b w:val="0"/>
          <w:bCs w:val="0"/>
        </w:rPr>
      </w:pPr>
      <w:bookmarkStart w:id="44" w:name="_Toc15396619"/>
      <w:bookmarkStart w:id="45" w:name="_Toc54165024"/>
      <w:r>
        <w:rPr>
          <w:rStyle w:val="16"/>
          <w:rFonts w:hint="eastAsia" w:ascii="仿宋" w:hAnsi="仿宋" w:eastAsia="仿宋"/>
          <w:b w:val="0"/>
          <w:bCs w:val="0"/>
        </w:rPr>
        <w:t>一、收入支出决算总表</w:t>
      </w:r>
      <w:bookmarkEnd w:id="44"/>
      <w:bookmarkEnd w:id="45"/>
    </w:p>
    <w:p>
      <w:pPr>
        <w:pStyle w:val="4"/>
        <w:rPr>
          <w:rFonts w:ascii="仿宋" w:hAnsi="仿宋" w:eastAsia="仿宋"/>
          <w:color w:val="000000"/>
        </w:rPr>
      </w:pPr>
      <w:bookmarkStart w:id="46" w:name="_Toc15396620"/>
      <w:bookmarkStart w:id="47" w:name="_Toc54165025"/>
      <w:r>
        <w:rPr>
          <w:rFonts w:hint="eastAsia" w:ascii="仿宋" w:hAnsi="仿宋" w:eastAsia="仿宋"/>
          <w:b w:val="0"/>
          <w:color w:val="000000"/>
        </w:rPr>
        <w:t>二、收</w:t>
      </w:r>
      <w:r>
        <w:rPr>
          <w:rStyle w:val="16"/>
          <w:rFonts w:hint="eastAsia" w:ascii="仿宋" w:hAnsi="仿宋" w:eastAsia="仿宋"/>
          <w:b w:val="0"/>
          <w:bCs w:val="0"/>
        </w:rPr>
        <w:t>入决算表</w:t>
      </w:r>
      <w:bookmarkEnd w:id="46"/>
      <w:bookmarkEnd w:id="47"/>
    </w:p>
    <w:p>
      <w:pPr>
        <w:pStyle w:val="4"/>
        <w:rPr>
          <w:rFonts w:ascii="仿宋" w:hAnsi="仿宋" w:eastAsia="仿宋"/>
          <w:color w:val="000000"/>
        </w:rPr>
      </w:pPr>
      <w:bookmarkStart w:id="48" w:name="_Toc15396621"/>
      <w:bookmarkStart w:id="49" w:name="_Toc54165026"/>
      <w:r>
        <w:rPr>
          <w:rStyle w:val="16"/>
          <w:rFonts w:hint="eastAsia" w:ascii="仿宋" w:hAnsi="仿宋" w:eastAsia="仿宋"/>
          <w:b w:val="0"/>
          <w:bCs w:val="0"/>
        </w:rPr>
        <w:t>三、</w:t>
      </w:r>
      <w:r>
        <w:rPr>
          <w:rFonts w:hint="eastAsia" w:ascii="仿宋" w:hAnsi="仿宋" w:eastAsia="仿宋"/>
          <w:b w:val="0"/>
          <w:color w:val="000000"/>
        </w:rPr>
        <w:t>支</w:t>
      </w:r>
      <w:r>
        <w:rPr>
          <w:rStyle w:val="16"/>
          <w:rFonts w:hint="eastAsia" w:ascii="仿宋" w:hAnsi="仿宋" w:eastAsia="仿宋"/>
          <w:b w:val="0"/>
          <w:bCs w:val="0"/>
        </w:rPr>
        <w:t>出决算表</w:t>
      </w:r>
      <w:bookmarkEnd w:id="48"/>
      <w:bookmarkEnd w:id="49"/>
    </w:p>
    <w:p>
      <w:pPr>
        <w:pStyle w:val="4"/>
        <w:rPr>
          <w:rFonts w:ascii="仿宋" w:hAnsi="仿宋" w:eastAsia="仿宋"/>
          <w:b w:val="0"/>
          <w:color w:val="000000"/>
        </w:rPr>
      </w:pPr>
      <w:bookmarkStart w:id="50" w:name="_Toc15396622"/>
      <w:bookmarkStart w:id="51" w:name="_Toc54165027"/>
      <w:r>
        <w:rPr>
          <w:rStyle w:val="16"/>
          <w:rFonts w:hint="eastAsia" w:ascii="仿宋" w:hAnsi="仿宋" w:eastAsia="仿宋"/>
          <w:b w:val="0"/>
          <w:bCs w:val="0"/>
        </w:rPr>
        <w:t>四、</w:t>
      </w:r>
      <w:r>
        <w:rPr>
          <w:rFonts w:hint="eastAsia" w:ascii="仿宋" w:hAnsi="仿宋" w:eastAsia="仿宋"/>
          <w:b w:val="0"/>
          <w:color w:val="000000"/>
        </w:rPr>
        <w:t>财</w:t>
      </w:r>
      <w:r>
        <w:rPr>
          <w:rStyle w:val="16"/>
          <w:rFonts w:hint="eastAsia" w:ascii="仿宋" w:hAnsi="仿宋" w:eastAsia="仿宋"/>
          <w:b w:val="0"/>
          <w:bCs w:val="0"/>
        </w:rPr>
        <w:t>政拨款收入支出决算总表</w:t>
      </w:r>
      <w:bookmarkEnd w:id="50"/>
      <w:bookmarkEnd w:id="51"/>
    </w:p>
    <w:p>
      <w:pPr>
        <w:pStyle w:val="4"/>
        <w:rPr>
          <w:rStyle w:val="16"/>
          <w:rFonts w:ascii="仿宋" w:hAnsi="仿宋" w:eastAsia="仿宋"/>
          <w:b w:val="0"/>
          <w:bCs w:val="0"/>
        </w:rPr>
      </w:pPr>
      <w:bookmarkStart w:id="52" w:name="_Toc15396623"/>
      <w:bookmarkStart w:id="53" w:name="_Toc54165028"/>
      <w:r>
        <w:rPr>
          <w:rStyle w:val="16"/>
          <w:rFonts w:hint="eastAsia" w:ascii="仿宋" w:hAnsi="仿宋" w:eastAsia="仿宋"/>
          <w:b w:val="0"/>
          <w:bCs w:val="0"/>
        </w:rPr>
        <w:t>五、</w:t>
      </w:r>
      <w:r>
        <w:rPr>
          <w:rFonts w:hint="eastAsia" w:ascii="仿宋" w:hAnsi="仿宋" w:eastAsia="仿宋"/>
          <w:b w:val="0"/>
          <w:color w:val="000000"/>
        </w:rPr>
        <w:t>财</w:t>
      </w:r>
      <w:r>
        <w:rPr>
          <w:rStyle w:val="16"/>
          <w:rFonts w:hint="eastAsia" w:ascii="仿宋" w:hAnsi="仿宋" w:eastAsia="仿宋"/>
          <w:b w:val="0"/>
          <w:bCs w:val="0"/>
        </w:rPr>
        <w:t>政拨款支出决算明细表</w:t>
      </w:r>
      <w:bookmarkEnd w:id="52"/>
      <w:bookmarkEnd w:id="53"/>
      <w:bookmarkStart w:id="54" w:name="_Toc15396624"/>
    </w:p>
    <w:p>
      <w:pPr>
        <w:pStyle w:val="4"/>
        <w:rPr>
          <w:rFonts w:ascii="仿宋" w:hAnsi="仿宋" w:eastAsia="仿宋"/>
          <w:color w:val="000000"/>
        </w:rPr>
      </w:pPr>
      <w:bookmarkStart w:id="55" w:name="_Toc54165029"/>
      <w:r>
        <w:rPr>
          <w:rStyle w:val="16"/>
          <w:rFonts w:hint="eastAsia" w:ascii="仿宋" w:hAnsi="仿宋" w:eastAsia="仿宋"/>
          <w:b w:val="0"/>
          <w:bCs w:val="0"/>
        </w:rPr>
        <w:t>六、</w:t>
      </w:r>
      <w:r>
        <w:rPr>
          <w:rFonts w:hint="eastAsia" w:ascii="仿宋" w:hAnsi="仿宋" w:eastAsia="仿宋"/>
          <w:b w:val="0"/>
          <w:color w:val="000000"/>
        </w:rPr>
        <w:t>一</w:t>
      </w:r>
      <w:r>
        <w:rPr>
          <w:rStyle w:val="16"/>
          <w:rFonts w:hint="eastAsia" w:ascii="仿宋" w:hAnsi="仿宋" w:eastAsia="仿宋"/>
          <w:b w:val="0"/>
          <w:bCs w:val="0"/>
        </w:rPr>
        <w:t>般公共预算财政拨款支出决算表</w:t>
      </w:r>
      <w:bookmarkEnd w:id="54"/>
      <w:bookmarkEnd w:id="55"/>
    </w:p>
    <w:p>
      <w:pPr>
        <w:pStyle w:val="4"/>
        <w:rPr>
          <w:rFonts w:ascii="仿宋" w:hAnsi="仿宋" w:eastAsia="仿宋"/>
          <w:color w:val="000000"/>
        </w:rPr>
      </w:pPr>
      <w:bookmarkStart w:id="56" w:name="_Toc15396625"/>
      <w:bookmarkStart w:id="57" w:name="_Toc54165030"/>
      <w:r>
        <w:rPr>
          <w:rStyle w:val="16"/>
          <w:rFonts w:hint="eastAsia" w:ascii="仿宋" w:hAnsi="仿宋" w:eastAsia="仿宋"/>
          <w:b w:val="0"/>
          <w:bCs w:val="0"/>
        </w:rPr>
        <w:t>七、</w:t>
      </w:r>
      <w:r>
        <w:rPr>
          <w:rFonts w:hint="eastAsia" w:ascii="仿宋" w:hAnsi="仿宋" w:eastAsia="仿宋"/>
          <w:b w:val="0"/>
          <w:color w:val="000000"/>
        </w:rPr>
        <w:t>一</w:t>
      </w:r>
      <w:r>
        <w:rPr>
          <w:rStyle w:val="16"/>
          <w:rFonts w:hint="eastAsia" w:ascii="仿宋" w:hAnsi="仿宋" w:eastAsia="仿宋"/>
          <w:b w:val="0"/>
          <w:bCs w:val="0"/>
        </w:rPr>
        <w:t>般公共预算财政拨款支出决算明细表</w:t>
      </w:r>
      <w:bookmarkEnd w:id="56"/>
      <w:bookmarkEnd w:id="57"/>
    </w:p>
    <w:p>
      <w:pPr>
        <w:pStyle w:val="4"/>
        <w:rPr>
          <w:rFonts w:ascii="仿宋" w:hAnsi="仿宋" w:eastAsia="仿宋"/>
          <w:color w:val="000000"/>
        </w:rPr>
      </w:pPr>
      <w:bookmarkStart w:id="58" w:name="_Toc15396626"/>
      <w:bookmarkStart w:id="59" w:name="_Toc54165031"/>
      <w:r>
        <w:rPr>
          <w:rStyle w:val="16"/>
          <w:rFonts w:hint="eastAsia" w:ascii="仿宋" w:hAnsi="仿宋" w:eastAsia="仿宋"/>
          <w:b w:val="0"/>
          <w:bCs w:val="0"/>
        </w:rPr>
        <w:t>八、</w:t>
      </w:r>
      <w:r>
        <w:rPr>
          <w:rFonts w:hint="eastAsia" w:ascii="仿宋" w:hAnsi="仿宋" w:eastAsia="仿宋"/>
          <w:b w:val="0"/>
          <w:color w:val="000000"/>
        </w:rPr>
        <w:t>一</w:t>
      </w:r>
      <w:r>
        <w:rPr>
          <w:rStyle w:val="16"/>
          <w:rFonts w:hint="eastAsia" w:ascii="仿宋" w:hAnsi="仿宋" w:eastAsia="仿宋"/>
          <w:b w:val="0"/>
          <w:bCs w:val="0"/>
        </w:rPr>
        <w:t>般公共预算财政拨款基本支出决算表</w:t>
      </w:r>
      <w:bookmarkEnd w:id="58"/>
      <w:bookmarkEnd w:id="59"/>
    </w:p>
    <w:p>
      <w:pPr>
        <w:pStyle w:val="4"/>
        <w:rPr>
          <w:rFonts w:ascii="仿宋" w:hAnsi="仿宋" w:eastAsia="仿宋"/>
          <w:color w:val="000000"/>
        </w:rPr>
      </w:pPr>
      <w:bookmarkStart w:id="60" w:name="_Toc15396627"/>
      <w:bookmarkStart w:id="61" w:name="_Toc54165032"/>
      <w:r>
        <w:rPr>
          <w:rStyle w:val="16"/>
          <w:rFonts w:hint="eastAsia" w:ascii="仿宋" w:hAnsi="仿宋" w:eastAsia="仿宋"/>
          <w:b w:val="0"/>
          <w:bCs w:val="0"/>
        </w:rPr>
        <w:t>九、</w:t>
      </w:r>
      <w:r>
        <w:rPr>
          <w:rFonts w:hint="eastAsia" w:ascii="仿宋" w:hAnsi="仿宋" w:eastAsia="仿宋"/>
          <w:b w:val="0"/>
          <w:color w:val="000000"/>
        </w:rPr>
        <w:t>一</w:t>
      </w:r>
      <w:r>
        <w:rPr>
          <w:rStyle w:val="16"/>
          <w:rFonts w:hint="eastAsia" w:ascii="仿宋" w:hAnsi="仿宋" w:eastAsia="仿宋"/>
          <w:b w:val="0"/>
          <w:bCs w:val="0"/>
        </w:rPr>
        <w:t>般公共预算财政拨款项目支出决算表</w:t>
      </w:r>
      <w:bookmarkEnd w:id="60"/>
      <w:bookmarkEnd w:id="61"/>
    </w:p>
    <w:p>
      <w:pPr>
        <w:pStyle w:val="4"/>
        <w:rPr>
          <w:rFonts w:ascii="仿宋" w:hAnsi="仿宋" w:eastAsia="仿宋"/>
          <w:color w:val="000000"/>
        </w:rPr>
      </w:pPr>
      <w:bookmarkStart w:id="62" w:name="_Toc15396628"/>
      <w:bookmarkStart w:id="63" w:name="_Toc54165033"/>
      <w:r>
        <w:rPr>
          <w:rStyle w:val="16"/>
          <w:rFonts w:hint="eastAsia" w:ascii="仿宋" w:hAnsi="仿宋" w:eastAsia="仿宋"/>
          <w:b w:val="0"/>
          <w:bCs w:val="0"/>
        </w:rPr>
        <w:t>十、</w:t>
      </w:r>
      <w:r>
        <w:rPr>
          <w:rFonts w:hint="eastAsia" w:ascii="仿宋" w:hAnsi="仿宋" w:eastAsia="仿宋"/>
          <w:b w:val="0"/>
          <w:color w:val="000000"/>
        </w:rPr>
        <w:t>一</w:t>
      </w:r>
      <w:r>
        <w:rPr>
          <w:rStyle w:val="16"/>
          <w:rFonts w:hint="eastAsia" w:ascii="仿宋" w:hAnsi="仿宋" w:eastAsia="仿宋"/>
          <w:b w:val="0"/>
          <w:bCs w:val="0"/>
        </w:rPr>
        <w:t>般公共预算财政拨款“三公”经费支出决算表</w:t>
      </w:r>
      <w:bookmarkEnd w:id="62"/>
      <w:bookmarkEnd w:id="63"/>
    </w:p>
    <w:p>
      <w:pPr>
        <w:pStyle w:val="4"/>
        <w:rPr>
          <w:rFonts w:ascii="仿宋" w:hAnsi="仿宋" w:eastAsia="仿宋"/>
          <w:color w:val="000000"/>
        </w:rPr>
      </w:pPr>
      <w:bookmarkStart w:id="64" w:name="_Toc54165034"/>
      <w:bookmarkStart w:id="65" w:name="_Toc15396629"/>
      <w:r>
        <w:rPr>
          <w:rStyle w:val="16"/>
          <w:rFonts w:hint="eastAsia" w:ascii="仿宋" w:hAnsi="仿宋" w:eastAsia="仿宋"/>
          <w:b w:val="0"/>
          <w:bCs w:val="0"/>
        </w:rPr>
        <w:t>十一、</w:t>
      </w:r>
      <w:r>
        <w:rPr>
          <w:rFonts w:hint="eastAsia" w:ascii="仿宋" w:hAnsi="仿宋" w:eastAsia="仿宋"/>
          <w:b w:val="0"/>
          <w:color w:val="000000"/>
        </w:rPr>
        <w:t>政</w:t>
      </w:r>
      <w:r>
        <w:rPr>
          <w:rStyle w:val="16"/>
          <w:rFonts w:hint="eastAsia" w:ascii="仿宋" w:hAnsi="仿宋" w:eastAsia="仿宋"/>
          <w:b w:val="0"/>
          <w:bCs w:val="0"/>
        </w:rPr>
        <w:t>府性基金预算财政拨款收入支出决算表</w:t>
      </w:r>
      <w:bookmarkEnd w:id="64"/>
      <w:bookmarkEnd w:id="65"/>
    </w:p>
    <w:p>
      <w:pPr>
        <w:pStyle w:val="4"/>
        <w:rPr>
          <w:rFonts w:ascii="仿宋" w:hAnsi="仿宋" w:eastAsia="仿宋"/>
          <w:color w:val="000000"/>
        </w:rPr>
      </w:pPr>
      <w:bookmarkStart w:id="66" w:name="_Toc15396630"/>
      <w:bookmarkStart w:id="67" w:name="_Toc54165035"/>
      <w:r>
        <w:rPr>
          <w:rStyle w:val="16"/>
          <w:rFonts w:hint="eastAsia" w:ascii="仿宋" w:hAnsi="仿宋" w:eastAsia="仿宋"/>
          <w:b w:val="0"/>
          <w:bCs w:val="0"/>
        </w:rPr>
        <w:t>十二、</w:t>
      </w:r>
      <w:r>
        <w:rPr>
          <w:rFonts w:hint="eastAsia" w:ascii="仿宋" w:hAnsi="仿宋" w:eastAsia="仿宋"/>
          <w:b w:val="0"/>
          <w:color w:val="000000"/>
        </w:rPr>
        <w:t>政</w:t>
      </w:r>
      <w:r>
        <w:rPr>
          <w:rStyle w:val="16"/>
          <w:rFonts w:hint="eastAsia" w:ascii="仿宋" w:hAnsi="仿宋" w:eastAsia="仿宋"/>
          <w:b w:val="0"/>
          <w:bCs w:val="0"/>
        </w:rPr>
        <w:t>府性基金预算财政拨款“三公”经费支出决算表</w:t>
      </w:r>
      <w:bookmarkEnd w:id="66"/>
      <w:bookmarkEnd w:id="67"/>
    </w:p>
    <w:p>
      <w:pPr>
        <w:pStyle w:val="4"/>
        <w:rPr>
          <w:rFonts w:ascii="仿宋" w:hAnsi="仿宋" w:eastAsia="仿宋"/>
          <w:color w:val="000000" w:themeColor="text1"/>
          <w14:textFill>
            <w14:solidFill>
              <w14:schemeClr w14:val="tx1"/>
            </w14:solidFill>
          </w14:textFill>
        </w:rPr>
      </w:pPr>
      <w:bookmarkStart w:id="68" w:name="_Toc15396631"/>
      <w:bookmarkStart w:id="69" w:name="_Toc54165036"/>
      <w:r>
        <w:rPr>
          <w:rStyle w:val="16"/>
          <w:rFonts w:hint="eastAsia" w:ascii="仿宋" w:hAnsi="仿宋" w:eastAsia="仿宋"/>
          <w:b w:val="0"/>
          <w:bCs w:val="0"/>
        </w:rPr>
        <w:t>十三、</w:t>
      </w:r>
      <w:r>
        <w:rPr>
          <w:rFonts w:hint="eastAsia" w:ascii="仿宋" w:hAnsi="仿宋" w:eastAsia="仿宋"/>
          <w:b w:val="0"/>
          <w:color w:val="000000"/>
        </w:rPr>
        <w:t>国</w:t>
      </w:r>
      <w:r>
        <w:rPr>
          <w:rStyle w:val="16"/>
          <w:rFonts w:hint="eastAsia" w:ascii="仿宋" w:hAnsi="仿宋" w:eastAsia="仿宋"/>
          <w:b w:val="0"/>
          <w:bCs w:val="0"/>
        </w:rPr>
        <w:t>有资本经营预算支出决算表</w:t>
      </w:r>
      <w:bookmarkEnd w:id="68"/>
      <w:bookmarkEnd w:id="69"/>
    </w:p>
    <w:p>
      <w:pPr>
        <w:rPr>
          <w:rStyle w:val="16"/>
          <w:rFonts w:eastAsia="仿宋" w:cs="Times New Roman"/>
          <w:b w:val="0"/>
          <w:bCs w:val="0"/>
        </w:rPr>
      </w:pPr>
    </w:p>
    <w:p>
      <w:pPr>
        <w:pStyle w:val="2"/>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E1FE6"/>
    <w:multiLevelType w:val="singleLevel"/>
    <w:tmpl w:val="876E1FE6"/>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44869C6"/>
    <w:multiLevelType w:val="singleLevel"/>
    <w:tmpl w:val="E44869C6"/>
    <w:lvl w:ilvl="0" w:tentative="0">
      <w:start w:val="1"/>
      <w:numFmt w:val="decimal"/>
      <w:lvlText w:val="%1."/>
      <w:lvlJc w:val="left"/>
      <w:pPr>
        <w:tabs>
          <w:tab w:val="left" w:pos="312"/>
        </w:tabs>
      </w:p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B4C9A28"/>
    <w:multiLevelType w:val="singleLevel"/>
    <w:tmpl w:val="1B4C9A28"/>
    <w:lvl w:ilvl="0" w:tentative="0">
      <w:start w:val="1"/>
      <w:numFmt w:val="decimal"/>
      <w:suff w:val="nothing"/>
      <w:lvlText w:val="%1、"/>
      <w:lvlJc w:val="left"/>
    </w:lvl>
  </w:abstractNum>
  <w:abstractNum w:abstractNumId="6">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6"/>
  </w:num>
  <w:num w:numId="2">
    <w:abstractNumId w:val="4"/>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A4B9F"/>
    <w:rsid w:val="010E2EF0"/>
    <w:rsid w:val="01D4437A"/>
    <w:rsid w:val="06463B0F"/>
    <w:rsid w:val="064E5B29"/>
    <w:rsid w:val="091C6CA9"/>
    <w:rsid w:val="096A2B5D"/>
    <w:rsid w:val="099D6194"/>
    <w:rsid w:val="0A921DAC"/>
    <w:rsid w:val="108A5633"/>
    <w:rsid w:val="12182639"/>
    <w:rsid w:val="15367D01"/>
    <w:rsid w:val="162B051E"/>
    <w:rsid w:val="17B47187"/>
    <w:rsid w:val="17BC34E1"/>
    <w:rsid w:val="19F170B8"/>
    <w:rsid w:val="1C9E3B4F"/>
    <w:rsid w:val="1D5F04A7"/>
    <w:rsid w:val="1E156D99"/>
    <w:rsid w:val="1EC45DF6"/>
    <w:rsid w:val="1EDE7BBA"/>
    <w:rsid w:val="1FA900BE"/>
    <w:rsid w:val="20D63C69"/>
    <w:rsid w:val="234A4B9F"/>
    <w:rsid w:val="23A27D00"/>
    <w:rsid w:val="25AD5714"/>
    <w:rsid w:val="27036EA3"/>
    <w:rsid w:val="27F153FA"/>
    <w:rsid w:val="28E82BE3"/>
    <w:rsid w:val="2BD301A1"/>
    <w:rsid w:val="2C2A0717"/>
    <w:rsid w:val="2D3E295F"/>
    <w:rsid w:val="2DD824AB"/>
    <w:rsid w:val="30A714F9"/>
    <w:rsid w:val="30B1266F"/>
    <w:rsid w:val="30BC5652"/>
    <w:rsid w:val="36391E2F"/>
    <w:rsid w:val="38CA2A56"/>
    <w:rsid w:val="39270C93"/>
    <w:rsid w:val="392B79A8"/>
    <w:rsid w:val="39F64C16"/>
    <w:rsid w:val="3A5B07E0"/>
    <w:rsid w:val="3E565522"/>
    <w:rsid w:val="3F9666BD"/>
    <w:rsid w:val="403E61F1"/>
    <w:rsid w:val="412504FB"/>
    <w:rsid w:val="41BF781E"/>
    <w:rsid w:val="41C67DA1"/>
    <w:rsid w:val="41FD769E"/>
    <w:rsid w:val="438D6B10"/>
    <w:rsid w:val="43B879B9"/>
    <w:rsid w:val="443278AA"/>
    <w:rsid w:val="449A700C"/>
    <w:rsid w:val="45B41BAD"/>
    <w:rsid w:val="46436CDE"/>
    <w:rsid w:val="46D40213"/>
    <w:rsid w:val="486965EE"/>
    <w:rsid w:val="49781783"/>
    <w:rsid w:val="4A32488F"/>
    <w:rsid w:val="4BA87694"/>
    <w:rsid w:val="4C2D2DEA"/>
    <w:rsid w:val="4DE94386"/>
    <w:rsid w:val="4E9B58B8"/>
    <w:rsid w:val="507F0E58"/>
    <w:rsid w:val="50E4512C"/>
    <w:rsid w:val="5151783F"/>
    <w:rsid w:val="52125FB2"/>
    <w:rsid w:val="525A16EA"/>
    <w:rsid w:val="53CD10DF"/>
    <w:rsid w:val="558419E7"/>
    <w:rsid w:val="55DD446D"/>
    <w:rsid w:val="584511F6"/>
    <w:rsid w:val="5C83778F"/>
    <w:rsid w:val="5CD65264"/>
    <w:rsid w:val="5D1E7201"/>
    <w:rsid w:val="602651DB"/>
    <w:rsid w:val="6166698B"/>
    <w:rsid w:val="65C602E9"/>
    <w:rsid w:val="665808DB"/>
    <w:rsid w:val="667E249B"/>
    <w:rsid w:val="69C836DD"/>
    <w:rsid w:val="6A0377A5"/>
    <w:rsid w:val="6ABA0731"/>
    <w:rsid w:val="6FA05E93"/>
    <w:rsid w:val="76905CD1"/>
    <w:rsid w:val="77DB72CA"/>
    <w:rsid w:val="78D9008E"/>
    <w:rsid w:val="7BB2779B"/>
    <w:rsid w:val="7C111600"/>
    <w:rsid w:val="7C3A19BD"/>
    <w:rsid w:val="7D833F4F"/>
    <w:rsid w:val="7E001A02"/>
    <w:rsid w:val="7F7547BB"/>
    <w:rsid w:val="7FCF2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30"/>
    </w:rPr>
  </w:style>
  <w:style w:type="paragraph" w:styleId="5">
    <w:name w:val="annotation text"/>
    <w:basedOn w:val="1"/>
    <w:semiHidden/>
    <w:unhideWhenUsed/>
    <w:qFormat/>
    <w:uiPriority w:val="99"/>
    <w:pPr>
      <w:jc w:val="left"/>
    </w:p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9">
    <w:name w:val="toc 2"/>
    <w:basedOn w:val="1"/>
    <w:next w:val="1"/>
    <w:unhideWhenUsed/>
    <w:qFormat/>
    <w:uiPriority w:val="39"/>
    <w:pPr>
      <w:tabs>
        <w:tab w:val="right" w:leader="dot" w:pos="8296"/>
      </w:tabs>
      <w:ind w:left="420" w:leftChars="200"/>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99"/>
    <w:rPr>
      <w:b/>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character" w:customStyle="1" w:styleId="15">
    <w:name w:val="标题 1 Char"/>
    <w:basedOn w:val="12"/>
    <w:link w:val="3"/>
    <w:qFormat/>
    <w:uiPriority w:val="9"/>
    <w:rPr>
      <w:b/>
      <w:bCs/>
      <w:kern w:val="44"/>
      <w:sz w:val="44"/>
      <w:szCs w:val="44"/>
    </w:rPr>
  </w:style>
  <w:style w:type="character" w:customStyle="1" w:styleId="16">
    <w:name w:val="标题 2 Char"/>
    <w:basedOn w:val="12"/>
    <w:link w:val="4"/>
    <w:qFormat/>
    <w:uiPriority w:val="9"/>
    <w:rPr>
      <w:rFonts w:asciiTheme="majorHAnsi" w:hAnsiTheme="majorHAnsi" w:eastAsiaTheme="majorEastAsia" w:cstheme="majorBidi"/>
      <w:b/>
      <w:bCs/>
      <w:sz w:val="32"/>
      <w:szCs w:val="32"/>
    </w:rPr>
  </w:style>
  <w:style w:type="paragraph" w:styleId="17">
    <w:name w:val="List Paragraph"/>
    <w:basedOn w:val="1"/>
    <w:qFormat/>
    <w:uiPriority w:val="34"/>
    <w:pPr>
      <w:ind w:firstLine="420" w:firstLineChars="200"/>
    </w:pPr>
  </w:style>
  <w:style w:type="paragraph" w:customStyle="1" w:styleId="1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5" Type="http://schemas.microsoft.com/office/2011/relationships/chartColorStyle" Target="colors1.xml"/><Relationship Id="rId4" Type="http://schemas.microsoft.com/office/2011/relationships/chartStyle" Target="style1.xml"/><Relationship Id="rId3" Type="http://schemas.openxmlformats.org/officeDocument/2006/relationships/image" Target="../media/image1.png"/><Relationship Id="rId2" Type="http://schemas.openxmlformats.org/officeDocument/2006/relationships/themeOverride" Target="../theme/themeOverride1.xml"/><Relationship Id="rId1" Type="http://schemas.openxmlformats.org/officeDocument/2006/relationships/oleObject" Target="file:///C:\Users\admin\Desktop\&#26032;&#24314;%20XLS%20&#24037;&#20316;&#34920;.xls"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oleObject" Target="file:///C:\Users\admin\Desktop\&#26032;&#24314;%20XLS%20&#24037;&#20316;&#34920;.xls"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3.xml"/><Relationship Id="rId1" Type="http://schemas.openxmlformats.org/officeDocument/2006/relationships/oleObject" Target="file:///C:\Users\admin\Desktop\&#26032;&#24314;%20XLS%20&#24037;&#20316;&#34920;%20(2).xls" TargetMode="External"/></Relationships>
</file>

<file path=word/charts/_rels/chart4.xml.rels><?xml version="1.0" encoding="UTF-8" standalone="yes"?>
<Relationships xmlns="http://schemas.openxmlformats.org/package/2006/relationships"><Relationship Id="rId5" Type="http://schemas.microsoft.com/office/2011/relationships/chartColorStyle" Target="colors4.xml"/><Relationship Id="rId4" Type="http://schemas.microsoft.com/office/2011/relationships/chartStyle" Target="style4.xml"/><Relationship Id="rId3" Type="http://schemas.openxmlformats.org/officeDocument/2006/relationships/image" Target="../media/image1.png"/><Relationship Id="rId2" Type="http://schemas.openxmlformats.org/officeDocument/2006/relationships/themeOverride" Target="../theme/themeOverride4.xml"/><Relationship Id="rId1" Type="http://schemas.openxmlformats.org/officeDocument/2006/relationships/oleObject" Target="file:///C:\Users\admin\Desktop\&#26032;&#24314;%20XLS%20&#24037;&#20316;&#34920;.xls" TargetMode="External"/></Relationships>
</file>

<file path=word/charts/_rels/chart5.xml.rels><?xml version="1.0" encoding="UTF-8" standalone="yes"?>
<Relationships xmlns="http://schemas.openxmlformats.org/package/2006/relationships"><Relationship Id="rId5" Type="http://schemas.microsoft.com/office/2011/relationships/chartColorStyle" Target="colors5.xml"/><Relationship Id="rId4" Type="http://schemas.microsoft.com/office/2011/relationships/chartStyle" Target="style5.xml"/><Relationship Id="rId3" Type="http://schemas.openxmlformats.org/officeDocument/2006/relationships/image" Target="../media/image1.png"/><Relationship Id="rId2" Type="http://schemas.openxmlformats.org/officeDocument/2006/relationships/themeOverride" Target="../theme/themeOverride5.xml"/><Relationship Id="rId1" Type="http://schemas.openxmlformats.org/officeDocument/2006/relationships/oleObject" Target="file:///C:\Users\admin\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6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收入决算情况</a:t>
            </a:r>
          </a:p>
        </c:rich>
      </c:tx>
      <c:layout>
        <c:manualLayout>
          <c:xMode val="edge"/>
          <c:yMode val="edge"/>
          <c:x val="0.105400816294183"/>
          <c:y val="0.0689102564102564"/>
        </c:manualLayout>
      </c:layout>
      <c:overlay val="0"/>
      <c:spPr>
        <a:noFill/>
        <a:ln>
          <a:noFill/>
        </a:ln>
        <a:effectLst/>
      </c:spPr>
    </c:title>
    <c:autoTitleDeleted val="0"/>
    <c:plotArea>
      <c:layout>
        <c:manualLayout>
          <c:layoutTarget val="inner"/>
          <c:xMode val="edge"/>
          <c:yMode val="edge"/>
          <c:x val="0.26465889612255"/>
          <c:y val="0.211675094816688"/>
          <c:w val="0.400959024181846"/>
          <c:h val="0.669068338249754"/>
        </c:manualLayout>
      </c:layout>
      <c:pieChart>
        <c:varyColors val="1"/>
        <c:ser>
          <c:idx val="0"/>
          <c:order val="0"/>
          <c:spPr>
            <a:solidFill>
              <a:srgbClr val="1E2223"/>
            </a:solidFill>
            <a:ln w="19050" cap="rnd" cmpd="sng">
              <a:solidFill>
                <a:schemeClr val="tx1">
                  <a:lumMod val="65000"/>
                  <a:lumOff val="35000"/>
                </a:schemeClr>
              </a:solidFill>
              <a:prstDash val="solid"/>
              <a:round/>
            </a:ln>
            <a:effectLst/>
          </c:spPr>
          <c:explosion val="0"/>
          <c:dPt>
            <c:idx val="0"/>
            <c:bubble3D val="0"/>
            <c:spPr>
              <a:solidFill>
                <a:srgbClr val="FFD588"/>
              </a:solidFill>
              <a:ln w="19050" cap="rnd" cmpd="sng">
                <a:solidFill>
                  <a:schemeClr val="tx1">
                    <a:lumMod val="65000"/>
                    <a:lumOff val="35000"/>
                  </a:schemeClr>
                </a:solidFill>
                <a:prstDash val="solid"/>
                <a:round/>
              </a:ln>
              <a:effectLst/>
            </c:spPr>
          </c:dPt>
          <c:dPt>
            <c:idx val="1"/>
            <c:bubble3D val="0"/>
            <c:spPr>
              <a:solidFill>
                <a:srgbClr val="00CCD5"/>
              </a:solidFill>
              <a:ln w="19050" cap="rnd" cmpd="sng">
                <a:solidFill>
                  <a:schemeClr val="tx1">
                    <a:lumMod val="65000"/>
                    <a:lumOff val="35000"/>
                  </a:schemeClr>
                </a:solidFill>
                <a:prstDash val="solid"/>
                <a:round/>
              </a:ln>
              <a:effectLst/>
            </c:spPr>
          </c:dPt>
          <c:dLbls>
            <c:dLbl>
              <c:idx val="0"/>
              <c:layout/>
              <c:numFmt formatCode="General" sourceLinked="1"/>
              <c:spPr>
                <a:solidFill>
                  <a:srgbClr val="F3BF61"/>
                </a:solidFill>
                <a:ln>
                  <a:solidFill>
                    <a:schemeClr val="tx1">
                      <a:lumMod val="65000"/>
                      <a:lumOff val="3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1"/>
              <c:layout>
                <c:manualLayout>
                  <c:x val="0.0614726713884806"/>
                  <c:y val="-0.0401390644753478"/>
                </c:manualLayout>
              </c:layout>
              <c:numFmt formatCode="General" sourceLinked="1"/>
              <c:spPr>
                <a:solidFill>
                  <a:srgbClr val="00CCD5"/>
                </a:solidFill>
                <a:ln>
                  <a:solidFill>
                    <a:schemeClr val="tx1">
                      <a:lumMod val="65000"/>
                      <a:lumOff val="3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General" sourceLinked="1"/>
            <c:spPr>
              <a:solidFill>
                <a:srgbClr val="FFD588"/>
              </a:solidFill>
              <a:ln>
                <a:solidFill>
                  <a:schemeClr val="tx1">
                    <a:lumMod val="65000"/>
                    <a:lumOff val="3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'[新建 XLS 工作表.xls]Sheet1'!$A$1:$B$1</c:f>
              <c:strCache>
                <c:ptCount val="2"/>
                <c:pt idx="0">
                  <c:v>一般公共预算财政拨款收入</c:v>
                </c:pt>
                <c:pt idx="1">
                  <c:v>政府性基金预算财政拨款收入</c:v>
                </c:pt>
              </c:strCache>
            </c:strRef>
          </c:cat>
          <c:val>
            <c:numRef>
              <c:f>'[新建 XLS 工作表.xls]Sheet1'!$A$2:$B$2</c:f>
              <c:numCache>
                <c:formatCode>General</c:formatCode>
                <c:ptCount val="2"/>
                <c:pt idx="0">
                  <c:v>11082.6</c:v>
                </c:pt>
                <c:pt idx="1">
                  <c:v>1140</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r"/>
      <c:legendEntry>
        <c:idx val="0"/>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1"/>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ayout>
        <c:manualLayout>
          <c:xMode val="edge"/>
          <c:yMode val="edge"/>
          <c:x val="0.844566318826611"/>
          <c:y val="0.296649108020789"/>
          <c:w val="0.0974115606924251"/>
          <c:h val="0.451567635903919"/>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blipFill rotWithShape="1">
      <a:blip xmlns:r="http://schemas.openxmlformats.org/officeDocument/2006/relationships" r:embed="rId3"/>
      <a:stretch>
        <a:fillRect/>
      </a:stretch>
    </a:blipFill>
    <a:ln w="9525" cap="flat" cmpd="sng" algn="ctr">
      <a:noFill/>
      <a:round/>
    </a:ln>
    <a:effectLst>
      <a:outerShdw blurRad="63500" dist="37357" dir="2700000" sx="0" sy="0" rotWithShape="0">
        <a:scrgbClr r="0" g="0" b="0"/>
      </a:outerShdw>
    </a:effectLst>
  </c:spPr>
  <c:txPr>
    <a:bodyPr/>
    <a:lstStyle/>
    <a:p>
      <a:pPr>
        <a:defRPr lang="zh-CN">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支出决算情况</a:t>
            </a:r>
          </a:p>
        </c:rich>
      </c:tx>
      <c:layout/>
      <c:overlay val="0"/>
      <c:spPr>
        <a:noFill/>
        <a:ln>
          <a:noFill/>
        </a:ln>
        <a:effectLst/>
      </c:spPr>
    </c:title>
    <c:autoTitleDeleted val="0"/>
    <c:plotArea>
      <c:layout/>
      <c:barChart>
        <c:barDir val="col"/>
        <c:grouping val="clustered"/>
        <c:varyColors val="0"/>
        <c:ser>
          <c:idx val="0"/>
          <c:order val="0"/>
          <c:spPr>
            <a:solidFill>
              <a:srgbClr val="42506B"/>
            </a:solidFill>
            <a:ln>
              <a:noFill/>
            </a:ln>
            <a:effectLst/>
          </c:spPr>
          <c:invertIfNegative val="0"/>
          <c:dLbls>
            <c:dLbl>
              <c:idx val="0"/>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工作表.xls]Sheet1'!$A$1:$C$1</c:f>
              <c:strCache>
                <c:ptCount val="3"/>
                <c:pt idx="0">
                  <c:v>2019年财政拨款收、支总计</c:v>
                </c:pt>
                <c:pt idx="1">
                  <c:v>2018年财政拨款收、支总计</c:v>
                </c:pt>
              </c:strCache>
            </c:strRef>
          </c:cat>
          <c:val>
            <c:numRef>
              <c:f>'[新建 XLS 工作表.xls]Sheet1'!$A$2:$C$2</c:f>
              <c:numCache>
                <c:formatCode>General</c:formatCode>
                <c:ptCount val="3"/>
                <c:pt idx="0">
                  <c:v>12222.6</c:v>
                </c:pt>
                <c:pt idx="1">
                  <c:v>11862.33</c:v>
                </c:pt>
              </c:numCache>
            </c:numRef>
          </c:val>
        </c:ser>
        <c:dLbls>
          <c:showLegendKey val="0"/>
          <c:showVal val="1"/>
          <c:showCatName val="0"/>
          <c:showSerName val="0"/>
          <c:showPercent val="0"/>
          <c:showBubbleSize val="0"/>
        </c:dLbls>
        <c:gapWidth val="150"/>
        <c:overlap val="-25"/>
        <c:axId val="832976723"/>
        <c:axId val="951498527"/>
      </c:barChart>
      <c:catAx>
        <c:axId val="832976723"/>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alpha val="41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951498527"/>
        <c:crosses val="autoZero"/>
        <c:auto val="1"/>
        <c:lblAlgn val="ctr"/>
        <c:lblOffset val="100"/>
        <c:noMultiLvlLbl val="0"/>
      </c:catAx>
      <c:valAx>
        <c:axId val="951498527"/>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832976723"/>
        <c:crosses val="autoZero"/>
        <c:crossBetween val="between"/>
      </c:valAx>
      <c:spPr>
        <a:noFill/>
        <a:ln>
          <a:noFill/>
        </a:ln>
        <a:effectLst/>
      </c:spPr>
    </c:plotArea>
    <c:legend>
      <c:legendPos val="t"/>
      <c:legendEntry>
        <c:idx val="0"/>
        <c:txPr>
          <a:bodyPr rot="0" spcFirstLastPara="0" vertOverflow="ellipsis" vert="horz" wrap="square" anchor="ctr" anchorCtr="1" forceAA="0"/>
          <a:lstStyle/>
          <a:p>
            <a:pPr>
              <a:defRPr lang="zh-CN" sz="900" b="0" i="0" u="none" strike="noStrike" kern="1200" baseline="0">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rgbClr val="2A3950"/>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一般公共预算财政拨款支出决算总体情况</a:t>
            </a:r>
          </a:p>
        </c:rich>
      </c:tx>
      <c:layout>
        <c:manualLayout>
          <c:xMode val="edge"/>
          <c:yMode val="edge"/>
          <c:x val="0.124861111111111"/>
          <c:y val="0.0798611111111111"/>
        </c:manualLayout>
      </c:layout>
      <c:overlay val="0"/>
      <c:spPr>
        <a:noFill/>
        <a:ln>
          <a:noFill/>
        </a:ln>
        <a:effectLst/>
      </c:spPr>
    </c:title>
    <c:autoTitleDeleted val="0"/>
    <c:plotArea>
      <c:layout>
        <c:manualLayout>
          <c:layoutTarget val="inner"/>
          <c:xMode val="edge"/>
          <c:yMode val="edge"/>
          <c:x val="0.0451388888888889"/>
          <c:y val="0.181712962962963"/>
          <c:w val="0.914583333333333"/>
          <c:h val="0.595"/>
        </c:manualLayout>
      </c:layout>
      <c:barChart>
        <c:barDir val="col"/>
        <c:grouping val="clustered"/>
        <c:varyColors val="0"/>
        <c:ser>
          <c:idx val="0"/>
          <c:order val="0"/>
          <c:spPr>
            <a:solidFill>
              <a:srgbClr val="42506B"/>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 (2).xls]Sheet1'!$A$1:$B$1</c:f>
              <c:strCache>
                <c:ptCount val="2"/>
                <c:pt idx="0">
                  <c:v>2019年一般公共预算</c:v>
                </c:pt>
                <c:pt idx="1">
                  <c:v>2018年一般公共预算</c:v>
                </c:pt>
              </c:strCache>
            </c:strRef>
          </c:cat>
          <c:val>
            <c:numRef>
              <c:f>'[新建 XLS 工作表 (2).xls]Sheet1'!$A$2:$B$2</c:f>
              <c:numCache>
                <c:formatCode>General</c:formatCode>
                <c:ptCount val="2"/>
                <c:pt idx="0">
                  <c:v>11082.6</c:v>
                </c:pt>
                <c:pt idx="1">
                  <c:v>11313.33</c:v>
                </c:pt>
              </c:numCache>
            </c:numRef>
          </c:val>
        </c:ser>
        <c:dLbls>
          <c:showLegendKey val="0"/>
          <c:showVal val="1"/>
          <c:showCatName val="0"/>
          <c:showSerName val="0"/>
          <c:showPercent val="0"/>
          <c:showBubbleSize val="0"/>
        </c:dLbls>
        <c:gapWidth val="219"/>
        <c:overlap val="-27"/>
        <c:axId val="271233334"/>
        <c:axId val="761783540"/>
      </c:barChart>
      <c:catAx>
        <c:axId val="27123333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alpha val="41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761783540"/>
        <c:crosses val="autoZero"/>
        <c:auto val="1"/>
        <c:lblAlgn val="ctr"/>
        <c:lblOffset val="100"/>
        <c:noMultiLvlLbl val="0"/>
      </c:catAx>
      <c:valAx>
        <c:axId val="761783540"/>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71233334"/>
        <c:crosses val="autoZero"/>
        <c:crossBetween val="between"/>
      </c:valAx>
      <c:spPr>
        <a:noFill/>
        <a:ln>
          <a:noFill/>
        </a:ln>
        <a:effectLst/>
      </c:spPr>
    </c:plotArea>
    <c:legend>
      <c:legendPos val="b"/>
      <c:legendEntry>
        <c:idx val="0"/>
        <c:txPr>
          <a:bodyPr rot="0" spcFirstLastPara="0" vertOverflow="ellipsis" vert="horz" wrap="square" anchor="ctr" anchorCtr="1" forceAA="0"/>
          <a:lstStyle/>
          <a:p>
            <a:pPr>
              <a:defRPr lang="zh-CN" sz="900" b="0" i="0" u="none" strike="noStrike" kern="1200" baseline="0">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rgbClr val="2A3950"/>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6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sz="1000"/>
              <a:t>一般公共预算财政拨款支出决算结构</a:t>
            </a:r>
            <a:endParaRPr sz="1000"/>
          </a:p>
        </c:rich>
      </c:tx>
      <c:layout>
        <c:manualLayout>
          <c:xMode val="edge"/>
          <c:yMode val="edge"/>
          <c:x val="0.0232954545454545"/>
          <c:y val="0.0311364815775817"/>
        </c:manualLayout>
      </c:layout>
      <c:overlay val="0"/>
      <c:spPr>
        <a:noFill/>
        <a:ln>
          <a:noFill/>
        </a:ln>
        <a:effectLst/>
      </c:spPr>
    </c:title>
    <c:autoTitleDeleted val="0"/>
    <c:plotArea>
      <c:layout>
        <c:manualLayout>
          <c:layoutTarget val="inner"/>
          <c:xMode val="edge"/>
          <c:yMode val="edge"/>
          <c:x val="0.26465889612255"/>
          <c:y val="0.211675094816688"/>
          <c:w val="0.400959024181846"/>
          <c:h val="0.669068338249754"/>
        </c:manualLayout>
      </c:layout>
      <c:pieChart>
        <c:varyColors val="1"/>
        <c:ser>
          <c:idx val="0"/>
          <c:order val="0"/>
          <c:spPr>
            <a:solidFill>
              <a:srgbClr val="1E2223"/>
            </a:solidFill>
            <a:ln w="19050" cap="rnd" cmpd="sng">
              <a:solidFill>
                <a:schemeClr val="tx1">
                  <a:lumMod val="65000"/>
                  <a:lumOff val="35000"/>
                </a:schemeClr>
              </a:solidFill>
              <a:prstDash val="solid"/>
              <a:round/>
            </a:ln>
            <a:effectLst/>
          </c:spPr>
          <c:explosion val="0"/>
          <c:dPt>
            <c:idx val="0"/>
            <c:bubble3D val="0"/>
            <c:spPr>
              <a:solidFill>
                <a:srgbClr val="FFD588"/>
              </a:solidFill>
              <a:ln w="19050" cap="rnd" cmpd="sng">
                <a:solidFill>
                  <a:schemeClr val="tx1">
                    <a:lumMod val="65000"/>
                    <a:lumOff val="35000"/>
                  </a:schemeClr>
                </a:solidFill>
                <a:prstDash val="solid"/>
                <a:round/>
              </a:ln>
              <a:effectLst/>
            </c:spPr>
          </c:dPt>
          <c:dPt>
            <c:idx val="1"/>
            <c:bubble3D val="0"/>
            <c:spPr>
              <a:solidFill>
                <a:srgbClr val="00CCD5"/>
              </a:solidFill>
              <a:ln w="19050" cap="rnd" cmpd="sng">
                <a:solidFill>
                  <a:schemeClr val="tx1">
                    <a:lumMod val="65000"/>
                    <a:lumOff val="35000"/>
                  </a:schemeClr>
                </a:solidFill>
                <a:prstDash val="solid"/>
                <a:round/>
              </a:ln>
              <a:effectLst/>
            </c:spPr>
          </c:dPt>
          <c:dPt>
            <c:idx val="2"/>
            <c:bubble3D val="0"/>
            <c:spPr>
              <a:pattFill prst="wdUpDiag">
                <a:fgClr>
                  <a:srgbClr val="B1A4FF"/>
                </a:fgClr>
                <a:bgClr>
                  <a:schemeClr val="bg1"/>
                </a:bgClr>
              </a:pattFill>
              <a:ln w="19050" cap="rnd" cmpd="sng">
                <a:solidFill>
                  <a:schemeClr val="tx1">
                    <a:lumMod val="65000"/>
                    <a:lumOff val="35000"/>
                  </a:schemeClr>
                </a:solidFill>
                <a:prstDash val="solid"/>
                <a:round/>
              </a:ln>
              <a:effectLst/>
            </c:spPr>
          </c:dPt>
          <c:dPt>
            <c:idx val="3"/>
            <c:bubble3D val="0"/>
            <c:spPr>
              <a:solidFill>
                <a:srgbClr val="1E2223"/>
              </a:solidFill>
              <a:ln w="19050" cap="rnd" cmpd="sng">
                <a:solidFill>
                  <a:schemeClr val="tx1">
                    <a:lumMod val="65000"/>
                    <a:lumOff val="35000"/>
                  </a:schemeClr>
                </a:solidFill>
                <a:prstDash val="solid"/>
                <a:round/>
              </a:ln>
              <a:effectLst/>
            </c:spPr>
          </c:dPt>
          <c:dLbls>
            <c:dLbl>
              <c:idx val="0"/>
              <c:layout/>
              <c:numFmt formatCode="General" sourceLinked="1"/>
              <c:spPr>
                <a:solidFill>
                  <a:srgbClr val="F3BF61"/>
                </a:solidFill>
                <a:ln>
                  <a:solidFill>
                    <a:schemeClr val="tx1">
                      <a:lumMod val="65000"/>
                      <a:lumOff val="3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1"/>
              <c:layout>
                <c:manualLayout>
                  <c:x val="0.0614726713884806"/>
                  <c:y val="-0.0401390644753478"/>
                </c:manualLayout>
              </c:layout>
              <c:numFmt formatCode="General" sourceLinked="1"/>
              <c:spPr>
                <a:solidFill>
                  <a:srgbClr val="00CCD5"/>
                </a:solidFill>
                <a:ln>
                  <a:solidFill>
                    <a:schemeClr val="tx1">
                      <a:lumMod val="65000"/>
                      <a:lumOff val="3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180408926900976"/>
                  <c:y val="-0.0246536745714957"/>
                </c:manualLayout>
              </c:layout>
              <c:numFmt formatCode="General" sourceLinked="1"/>
              <c:spPr>
                <a:solidFill>
                  <a:srgbClr val="B1A4FF"/>
                </a:solidFill>
                <a:ln>
                  <a:solidFill>
                    <a:schemeClr val="tx1">
                      <a:lumMod val="65000"/>
                      <a:lumOff val="3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General" sourceLinked="1"/>
            <c:spPr>
              <a:solidFill>
                <a:srgbClr val="FFD588"/>
              </a:solidFill>
              <a:ln>
                <a:solidFill>
                  <a:schemeClr val="tx1">
                    <a:lumMod val="65000"/>
                    <a:lumOff val="3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'[新建 XLS 工作表.xls]Sheet1'!$A$1:$D$1</c:f>
              <c:strCache>
                <c:ptCount val="4"/>
                <c:pt idx="0">
                  <c:v>社会和保障就业支出</c:v>
                </c:pt>
                <c:pt idx="1">
                  <c:v>卫生健康支出</c:v>
                </c:pt>
                <c:pt idx="2">
                  <c:v>节能环保支出</c:v>
                </c:pt>
                <c:pt idx="3">
                  <c:v>农林水支出</c:v>
                </c:pt>
              </c:strCache>
            </c:strRef>
          </c:cat>
          <c:val>
            <c:numRef>
              <c:f>'[新建 XLS 工作表.xls]Sheet1'!$A$2:$D$2</c:f>
              <c:numCache>
                <c:formatCode>General</c:formatCode>
                <c:ptCount val="4"/>
                <c:pt idx="0">
                  <c:v>221.39</c:v>
                </c:pt>
                <c:pt idx="1">
                  <c:v>97.31</c:v>
                </c:pt>
                <c:pt idx="2">
                  <c:v>4610.4</c:v>
                </c:pt>
                <c:pt idx="3">
                  <c:v>6153.5</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r"/>
      <c:legendEntry>
        <c:idx val="0"/>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1"/>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2"/>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ayout>
        <c:manualLayout>
          <c:xMode val="edge"/>
          <c:yMode val="edge"/>
          <c:x val="0.844566318826611"/>
          <c:y val="0.296649108020789"/>
          <c:w val="0.0974115606924251"/>
          <c:h val="0.451567635903919"/>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blipFill rotWithShape="1">
      <a:blip xmlns:r="http://schemas.openxmlformats.org/officeDocument/2006/relationships" r:embed="rId3"/>
      <a:stretch>
        <a:fillRect/>
      </a:stretch>
    </a:blipFill>
    <a:ln w="9525" cap="flat" cmpd="sng" algn="ctr">
      <a:noFill/>
      <a:round/>
    </a:ln>
    <a:effectLst>
      <a:outerShdw blurRad="63500" dist="37357" dir="2700000" sx="0" sy="0" rotWithShape="0">
        <a:scrgbClr r="0" g="0" b="0"/>
      </a:outerShdw>
    </a:effectLst>
  </c:spPr>
  <c:txPr>
    <a:bodyPr/>
    <a:lstStyle/>
    <a:p>
      <a:pPr>
        <a:defRPr lang="zh-CN">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6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“三公”经费财政拨款支出决算具体情况</a:t>
            </a:r>
          </a:p>
        </c:rich>
      </c:tx>
      <c:layout/>
      <c:overlay val="0"/>
      <c:spPr>
        <a:noFill/>
        <a:ln>
          <a:noFill/>
        </a:ln>
        <a:effectLst/>
      </c:spPr>
    </c:title>
    <c:autoTitleDeleted val="0"/>
    <c:plotArea>
      <c:layout>
        <c:manualLayout>
          <c:layoutTarget val="inner"/>
          <c:xMode val="edge"/>
          <c:yMode val="edge"/>
          <c:x val="0.26465889612255"/>
          <c:y val="0.211675094816688"/>
          <c:w val="0.400959024181846"/>
          <c:h val="0.669068338249754"/>
        </c:manualLayout>
      </c:layout>
      <c:pieChart>
        <c:varyColors val="1"/>
        <c:ser>
          <c:idx val="0"/>
          <c:order val="0"/>
          <c:spPr>
            <a:solidFill>
              <a:srgbClr val="1E2223"/>
            </a:solidFill>
            <a:ln w="19050" cap="rnd" cmpd="sng">
              <a:solidFill>
                <a:schemeClr val="tx1">
                  <a:lumMod val="65000"/>
                  <a:lumOff val="35000"/>
                </a:schemeClr>
              </a:solidFill>
              <a:prstDash val="solid"/>
              <a:round/>
            </a:ln>
            <a:effectLst/>
          </c:spPr>
          <c:explosion val="0"/>
          <c:dPt>
            <c:idx val="0"/>
            <c:bubble3D val="0"/>
            <c:spPr>
              <a:solidFill>
                <a:srgbClr val="FFD588"/>
              </a:solidFill>
              <a:ln w="19050" cap="rnd" cmpd="sng">
                <a:solidFill>
                  <a:schemeClr val="tx1">
                    <a:lumMod val="65000"/>
                    <a:lumOff val="35000"/>
                  </a:schemeClr>
                </a:solidFill>
                <a:prstDash val="solid"/>
                <a:round/>
              </a:ln>
              <a:effectLst/>
            </c:spPr>
          </c:dPt>
          <c:dPt>
            <c:idx val="1"/>
            <c:bubble3D val="0"/>
            <c:spPr>
              <a:solidFill>
                <a:srgbClr val="00CCD5"/>
              </a:solidFill>
              <a:ln w="19050" cap="rnd" cmpd="sng">
                <a:solidFill>
                  <a:schemeClr val="tx1">
                    <a:lumMod val="65000"/>
                    <a:lumOff val="35000"/>
                  </a:schemeClr>
                </a:solidFill>
                <a:prstDash val="solid"/>
                <a:round/>
              </a:ln>
              <a:effectLst/>
            </c:spPr>
          </c:dPt>
          <c:dPt>
            <c:idx val="2"/>
            <c:bubble3D val="0"/>
            <c:spPr>
              <a:pattFill prst="wdUpDiag">
                <a:fgClr>
                  <a:srgbClr val="B1A4FF"/>
                </a:fgClr>
                <a:bgClr>
                  <a:schemeClr val="bg1"/>
                </a:bgClr>
              </a:pattFill>
              <a:ln w="19050" cap="rnd" cmpd="sng">
                <a:solidFill>
                  <a:schemeClr val="tx1">
                    <a:lumMod val="65000"/>
                    <a:lumOff val="35000"/>
                  </a:schemeClr>
                </a:solidFill>
                <a:prstDash val="solid"/>
                <a:round/>
              </a:ln>
              <a:effectLst/>
            </c:spPr>
          </c:dPt>
          <c:dPt>
            <c:idx val="3"/>
            <c:bubble3D val="0"/>
            <c:spPr>
              <a:solidFill>
                <a:srgbClr val="1E2223"/>
              </a:solidFill>
              <a:ln w="19050" cap="rnd" cmpd="sng">
                <a:solidFill>
                  <a:schemeClr val="tx1">
                    <a:lumMod val="65000"/>
                    <a:lumOff val="35000"/>
                  </a:schemeClr>
                </a:solidFill>
                <a:prstDash val="solid"/>
                <a:round/>
              </a:ln>
              <a:effectLst/>
            </c:spPr>
          </c:dPt>
          <c:dLbls>
            <c:dLbl>
              <c:idx val="0"/>
              <c:layout/>
              <c:numFmt formatCode="General" sourceLinked="1"/>
              <c:spPr>
                <a:solidFill>
                  <a:srgbClr val="F3BF61"/>
                </a:solidFill>
                <a:ln>
                  <a:solidFill>
                    <a:schemeClr val="tx1">
                      <a:lumMod val="65000"/>
                      <a:lumOff val="3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1"/>
              <c:layout>
                <c:manualLayout>
                  <c:x val="0.0614726713884806"/>
                  <c:y val="-0.0401390644753478"/>
                </c:manualLayout>
              </c:layout>
              <c:numFmt formatCode="General" sourceLinked="1"/>
              <c:spPr>
                <a:solidFill>
                  <a:srgbClr val="00CCD5"/>
                </a:solidFill>
                <a:ln>
                  <a:solidFill>
                    <a:schemeClr val="tx1">
                      <a:lumMod val="65000"/>
                      <a:lumOff val="3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180408926900976"/>
                  <c:y val="-0.0246536745714957"/>
                </c:manualLayout>
              </c:layout>
              <c:numFmt formatCode="General" sourceLinked="1"/>
              <c:spPr>
                <a:solidFill>
                  <a:srgbClr val="B1A4FF"/>
                </a:solidFill>
                <a:ln>
                  <a:solidFill>
                    <a:schemeClr val="tx1">
                      <a:lumMod val="65000"/>
                      <a:lumOff val="3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General" sourceLinked="1"/>
            <c:spPr>
              <a:solidFill>
                <a:srgbClr val="FFD588"/>
              </a:solidFill>
              <a:ln>
                <a:solidFill>
                  <a:schemeClr val="tx1">
                    <a:lumMod val="65000"/>
                    <a:lumOff val="3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'[新建 XLS 工作表.xls]Sheet1'!$A$1:$D$1</c:f>
              <c:strCache>
                <c:ptCount val="4"/>
                <c:pt idx="0">
                  <c:v>公务用车购置及运行维护费</c:v>
                </c:pt>
                <c:pt idx="1">
                  <c:v>公务接待费</c:v>
                </c:pt>
              </c:strCache>
            </c:strRef>
          </c:cat>
          <c:val>
            <c:numRef>
              <c:f>'[新建 XLS 工作表.xls]Sheet1'!$A$2:$D$2</c:f>
              <c:numCache>
                <c:formatCode>General</c:formatCode>
                <c:ptCount val="4"/>
                <c:pt idx="0">
                  <c:v>3.48</c:v>
                </c:pt>
                <c:pt idx="1">
                  <c:v>2.87</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r"/>
      <c:legendEntry>
        <c:idx val="0"/>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1"/>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2"/>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ayout>
        <c:manualLayout>
          <c:xMode val="edge"/>
          <c:yMode val="edge"/>
          <c:x val="0.844566318826611"/>
          <c:y val="0.296649108020789"/>
          <c:w val="0.0974115606924251"/>
          <c:h val="0.451567635903919"/>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blipFill rotWithShape="1">
      <a:blip xmlns:r="http://schemas.openxmlformats.org/officeDocument/2006/relationships" r:embed="rId3"/>
      <a:stretch>
        <a:fillRect/>
      </a:stretch>
    </a:blipFill>
    <a:ln w="9525" cap="flat" cmpd="sng" algn="ctr">
      <a:noFill/>
      <a:round/>
    </a:ln>
    <a:effectLst>
      <a:outerShdw blurRad="63500" dist="37357" dir="2700000" sx="0" sy="0" rotWithShape="0">
        <a:scrgbClr r="0" g="0" b="0"/>
      </a:outerShdw>
    </a:effectLst>
  </c:spPr>
  <c:txPr>
    <a:bodyPr/>
    <a:lstStyle/>
    <a:p>
      <a:pPr>
        <a:defRPr lang="zh-CN">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2020-10-26T02:20:00Z</dcterms:created>
  <dc:creator>…</dc:creator>
  <cp:lastModifiedBy>明风之风</cp:lastModifiedBy>
  <dcterms:modified xsi:type="dcterms:W3CDTF">2022-03-16T06:54:16Z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B1EC6455B5D5431F8DCD3BCE86ED06F0</vt:lpwstr>
  </property>
</Properties>
</file>