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ascii="Times New Roman" w:hAnsi="Times New Roman" w:eastAsia="方正小标宋简体" w:cs="Times New Roman"/>
          <w:color w:val="auto"/>
          <w:sz w:val="72"/>
          <w:szCs w:val="72"/>
          <w:lang w:val="en-US" w:eastAsia="zh-CN"/>
        </w:rPr>
      </w:pPr>
      <w:bookmarkStart w:id="1" w:name="_Toc15396597"/>
      <w:bookmarkStart w:id="2" w:name="_Toc15377425"/>
      <w:bookmarkStart w:id="3" w:name="_Toc15378441"/>
      <w:bookmarkStart w:id="4" w:name="_Toc15396475"/>
      <w:bookmarkStart w:id="5" w:name="_Toc15377193"/>
      <w:r>
        <w:rPr>
          <w:rFonts w:hint="default" w:ascii="Times New Roman" w:hAnsi="Times New Roman" w:eastAsia="黑体" w:cs="Times New Roman"/>
          <w:color w:val="000000"/>
          <w:sz w:val="72"/>
          <w:szCs w:val="72"/>
        </w:rPr>
        <w:t>201</w:t>
      </w:r>
      <w:r>
        <w:rPr>
          <w:rFonts w:hint="eastAsia" w:eastAsia="黑体" w:cs="Times New Roman"/>
          <w:color w:val="000000"/>
          <w:sz w:val="72"/>
          <w:szCs w:val="72"/>
          <w:lang w:val="en-US" w:eastAsia="zh-CN"/>
        </w:rPr>
        <w:t>9</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bookmarkStart w:id="6" w:name="_Toc15396598"/>
      <w:bookmarkStart w:id="7" w:name="_Toc15377194"/>
      <w:bookmarkStart w:id="8" w:name="_Toc15378442"/>
      <w:bookmarkStart w:id="9" w:name="_Toc15396476"/>
      <w:bookmarkStart w:id="10" w:name="_Toc15377426"/>
      <w:r>
        <w:rPr>
          <w:rFonts w:hint="default" w:ascii="Times New Roman" w:hAnsi="Times New Roman" w:eastAsia="方正小标宋简体" w:cs="Times New Roman"/>
          <w:color w:val="000000"/>
          <w:sz w:val="72"/>
          <w:szCs w:val="72"/>
        </w:rPr>
        <w:t>平</w:t>
      </w:r>
      <w:r>
        <w:rPr>
          <w:rFonts w:hint="default" w:ascii="Times New Roman" w:hAnsi="Times New Roman" w:eastAsia="方正小标宋简体" w:cs="Times New Roman"/>
          <w:color w:val="auto"/>
          <w:sz w:val="72"/>
          <w:szCs w:val="72"/>
        </w:rPr>
        <w:t>昌县</w:t>
      </w:r>
      <w:bookmarkEnd w:id="0"/>
      <w:bookmarkStart w:id="11" w:name="_Toc15306268"/>
      <w:r>
        <w:rPr>
          <w:rFonts w:hint="eastAsia" w:ascii="Times New Roman" w:hAnsi="Times New Roman" w:eastAsia="方正小标宋简体" w:cs="Times New Roman"/>
          <w:color w:val="auto"/>
          <w:sz w:val="72"/>
          <w:szCs w:val="72"/>
          <w:lang w:val="en-US" w:eastAsia="zh-CN"/>
        </w:rPr>
        <w:t>元山镇</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lang w:eastAsia="zh-CN"/>
        </w:rPr>
      </w:pPr>
      <w:r>
        <w:rPr>
          <w:rFonts w:hint="default" w:ascii="Times New Roman" w:hAnsi="Times New Roman" w:eastAsia="方正小标宋简体" w:cs="Times New Roman"/>
          <w:color w:val="auto"/>
          <w:sz w:val="72"/>
          <w:szCs w:val="72"/>
        </w:rPr>
        <w:t>部门</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eastAsia" w:eastAsia="方正小标宋简体" w:cs="Times New Roman"/>
          <w:color w:val="000000"/>
          <w:sz w:val="72"/>
          <w:szCs w:val="72"/>
          <w:lang w:eastAsia="zh-CN"/>
        </w:rPr>
        <w:t>公开编制说明</w:t>
      </w:r>
    </w:p>
    <w:p>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lang w:eastAsia="zh-CN"/>
        </w:rPr>
      </w:pPr>
      <w:r>
        <w:rPr>
          <w:rFonts w:hint="eastAsia" w:eastAsia="方正小标宋简体" w:cs="Times New Roman"/>
          <w:color w:val="000000"/>
          <w:sz w:val="72"/>
          <w:szCs w:val="72"/>
          <w:lang w:eastAsia="zh-CN"/>
        </w:rPr>
        <w:t>（汇总）</w:t>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br w:type="page"/>
      </w:r>
    </w:p>
    <w:p>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560" w:lineRule="exact"/>
        <w:jc w:val="both"/>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pPr>
        <w:pageBreakBefore w:val="0"/>
        <w:kinsoku/>
        <w:wordWrap/>
        <w:overflowPunct/>
        <w:topLinePunct w:val="0"/>
        <w:bidi w:val="0"/>
        <w:spacing w:line="560" w:lineRule="exact"/>
        <w:rPr>
          <w:rFonts w:hint="default" w:ascii="Times New Roman" w:hAnsi="Times New Roman" w:cs="Times New Roman"/>
          <w:highlight w:val="none"/>
        </w:rPr>
      </w:pP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一、基本职能及主要工作</w:t>
      </w:r>
      <w:r>
        <w:rPr>
          <w:rStyle w:val="14"/>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fldChar w:fldCharType="end"/>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第二部分 201</w:t>
      </w:r>
      <w:r>
        <w:rPr>
          <w:rStyle w:val="14"/>
          <w:rFonts w:hint="eastAsia" w:ascii="Times New Roman" w:hAnsi="Times New Roman" w:cs="Times New Roman"/>
          <w:highlight w:val="none"/>
          <w:lang w:val="en-US" w:eastAsia="zh-CN"/>
        </w:rPr>
        <w:t>9</w:t>
      </w:r>
      <w:r>
        <w:rPr>
          <w:rStyle w:val="14"/>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6</w:t>
      </w:r>
      <w:r>
        <w:rPr>
          <w:rFonts w:hint="default" w:ascii="Times New Roman" w:hAnsi="Times New Roman" w:cs="Times New Roman"/>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一、</w:t>
      </w:r>
      <w:r>
        <w:rPr>
          <w:rStyle w:val="14"/>
          <w:rFonts w:hint="default" w:ascii="Times New Roman" w:hAnsi="Times New Roman" w:eastAsia="仿宋" w:cs="Times New Roman"/>
          <w:sz w:val="28"/>
          <w:szCs w:val="28"/>
          <w:highlight w:val="none"/>
        </w:rPr>
        <w:t>收</w:t>
      </w:r>
      <w:r>
        <w:rPr>
          <w:rStyle w:val="14"/>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二、</w:t>
      </w:r>
      <w:r>
        <w:rPr>
          <w:rStyle w:val="14"/>
          <w:rFonts w:hint="default" w:ascii="Times New Roman" w:hAnsi="Times New Roman" w:eastAsia="仿宋" w:cs="Times New Roman"/>
          <w:sz w:val="28"/>
          <w:szCs w:val="28"/>
          <w:highlight w:val="none"/>
        </w:rPr>
        <w:t>收</w:t>
      </w:r>
      <w:r>
        <w:rPr>
          <w:rStyle w:val="14"/>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三、</w:t>
      </w:r>
      <w:r>
        <w:rPr>
          <w:rStyle w:val="14"/>
          <w:rFonts w:hint="default" w:ascii="Times New Roman" w:hAnsi="Times New Roman" w:eastAsia="仿宋" w:cs="Times New Roman"/>
          <w:sz w:val="28"/>
          <w:szCs w:val="28"/>
          <w:highlight w:val="none"/>
        </w:rPr>
        <w:t>支</w:t>
      </w:r>
      <w:r>
        <w:rPr>
          <w:rStyle w:val="14"/>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四、财</w:t>
      </w:r>
      <w:r>
        <w:rPr>
          <w:rStyle w:val="14"/>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"_Toc15396607"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五、一</w:t>
      </w:r>
      <w:r>
        <w:rPr>
          <w:rStyle w:val="14"/>
          <w:rFonts w:hint="default" w:ascii="Times New Roman" w:hAnsi="Times New Roman" w:eastAsia="仿宋" w:cs="Times New Roman"/>
          <w:bCs/>
          <w:sz w:val="28"/>
          <w:szCs w:val="28"/>
          <w:highlight w:val="none"/>
        </w:rPr>
        <w:t>般公共预算财政拨款支出决算情况说明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六、一</w:t>
      </w:r>
      <w:r>
        <w:rPr>
          <w:rStyle w:val="14"/>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2</w:t>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七、“</w:t>
      </w:r>
      <w:r>
        <w:rPr>
          <w:rStyle w:val="14"/>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3</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八、</w:t>
      </w:r>
      <w:r>
        <w:rPr>
          <w:rStyle w:val="14"/>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14</w:t>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bCs/>
          <w:sz w:val="28"/>
          <w:szCs w:val="28"/>
          <w:highlight w:val="none"/>
        </w:rPr>
        <w:t>九、</w:t>
      </w:r>
      <w:r>
        <w:rPr>
          <w:rStyle w:val="14"/>
          <w:rFonts w:hint="default" w:ascii="Times New Roman" w:hAnsi="Times New Roman" w:eastAsia="仿宋" w:cs="Times New Roman"/>
          <w:sz w:val="28"/>
          <w:szCs w:val="28"/>
          <w:highlight w:val="none"/>
        </w:rPr>
        <w:t xml:space="preserve"> 国</w:t>
      </w:r>
      <w:r>
        <w:rPr>
          <w:rStyle w:val="14"/>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14</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pPr>
        <w:pStyle w:val="9"/>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十</w:t>
      </w:r>
      <w:r>
        <w:rPr>
          <w:rStyle w:val="14"/>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4</w:t>
      </w:r>
    </w:p>
    <w:p>
      <w:pPr>
        <w:pStyle w:val="8"/>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4"/>
          <w:rFonts w:hint="default" w:ascii="Times New Roman" w:hAnsi="Times New Roman" w:cs="Times New Roman"/>
          <w:bCs/>
          <w:kern w:val="44"/>
          <w:highlight w:val="none"/>
        </w:rPr>
        <w:t>第三部分</w:t>
      </w:r>
      <w:r>
        <w:rPr>
          <w:rStyle w:val="14"/>
          <w:rFonts w:hint="default" w:ascii="Times New Roman" w:hAnsi="Times New Roman" w:cs="Times New Roman"/>
          <w:highlight w:val="none"/>
        </w:rPr>
        <w:t xml:space="preserve"> 名</w:t>
      </w:r>
      <w:r>
        <w:rPr>
          <w:rStyle w:val="14"/>
          <w:rFonts w:hint="default" w:ascii="Times New Roman" w:hAnsi="Times New Roman" w:cs="Times New Roman"/>
          <w:bCs/>
          <w:kern w:val="44"/>
          <w:highlight w:val="none"/>
        </w:rPr>
        <w:t>词解释</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1</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9</w:t>
      </w:r>
    </w:p>
    <w:p>
      <w:pPr>
        <w:pStyle w:val="8"/>
        <w:pageBreakBefore w:val="0"/>
        <w:kinsoku/>
        <w:wordWrap/>
        <w:overflowPunct/>
        <w:topLinePunct w:val="0"/>
        <w:bidi w:val="0"/>
        <w:spacing w:before="0" w:line="560" w:lineRule="exact"/>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w:t>
      </w:r>
      <w:r>
        <w:rPr>
          <w:rStyle w:val="14"/>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21</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21</w:t>
      </w:r>
    </w:p>
    <w:p>
      <w:pPr>
        <w:pStyle w:val="9"/>
        <w:pageBreakBefore w:val="0"/>
        <w:kinsoku/>
        <w:wordWrap/>
        <w:overflowPunct/>
        <w:topLinePunct w:val="0"/>
        <w:bidi w:val="0"/>
        <w:spacing w:line="560" w:lineRule="exact"/>
        <w:rPr>
          <w:rFonts w:hint="eastAsia"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"_Toc15396617"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kern w:val="44"/>
          <w:sz w:val="28"/>
          <w:szCs w:val="28"/>
          <w:highlight w:val="none"/>
        </w:rPr>
        <w:t>附件2</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6</w:t>
      </w:r>
    </w:p>
    <w:p>
      <w:pPr>
        <w:pStyle w:val="8"/>
        <w:pageBreakBefore w:val="0"/>
        <w:kinsoku/>
        <w:wordWrap/>
        <w:overflowPunct/>
        <w:topLinePunct w:val="0"/>
        <w:bidi w:val="0"/>
        <w:spacing w:before="0" w:line="560" w:lineRule="exact"/>
        <w:rPr>
          <w:rFonts w:hint="default" w:ascii="Times New Roman" w:hAnsi="Times New Roman" w:cs="Times New Roman"/>
          <w:highlight w:val="none"/>
        </w:rPr>
      </w:pPr>
    </w:p>
    <w:p>
      <w:pPr>
        <w:pStyle w:val="8"/>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4"/>
          <w:rFonts w:hint="default" w:ascii="Times New Roman" w:hAnsi="Times New Roman" w:cs="Times New Roman"/>
          <w:highlight w:val="none"/>
        </w:rPr>
        <w:t>第</w:t>
      </w:r>
      <w:r>
        <w:rPr>
          <w:rStyle w:val="14"/>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3</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收入</w:t>
      </w:r>
      <w:r>
        <w:rPr>
          <w:rStyle w:val="14"/>
          <w:rFonts w:hint="eastAsia" w:eastAsia="仿宋" w:cs="Times New Roman"/>
          <w:sz w:val="28"/>
          <w:szCs w:val="28"/>
          <w:highlight w:val="none"/>
          <w:lang w:eastAsia="zh-CN"/>
        </w:rPr>
        <w:t>决算</w:t>
      </w:r>
      <w:r>
        <w:rPr>
          <w:rStyle w:val="14"/>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支出</w:t>
      </w:r>
      <w:r>
        <w:rPr>
          <w:rStyle w:val="14"/>
          <w:rFonts w:hint="eastAsia" w:eastAsia="仿宋" w:cs="Times New Roman"/>
          <w:sz w:val="28"/>
          <w:szCs w:val="28"/>
          <w:highlight w:val="none"/>
          <w:lang w:eastAsia="zh-CN"/>
        </w:rPr>
        <w:t>决算</w:t>
      </w:r>
      <w:r>
        <w:rPr>
          <w:rStyle w:val="14"/>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Style w:val="9"/>
        <w:pageBreakBefore w:val="0"/>
        <w:kinsoku/>
        <w:wordWrap/>
        <w:overflowPunct/>
        <w:topLinePunct w:val="0"/>
        <w:bidi w:val="0"/>
        <w:spacing w:line="560" w:lineRule="exact"/>
        <w:rPr>
          <w:rFonts w:hint="default" w:ascii="Times New Roman" w:hAnsi="Times New Roman" w:eastAsia="仿宋" w:cs="Times New Roman"/>
          <w:sz w:val="24"/>
          <w:highlight w:val="none"/>
          <w:lang w:val="en-US"/>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4"/>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pPr>
        <w:pageBreakBefore w:val="0"/>
        <w:widowControl/>
        <w:kinsoku/>
        <w:wordWrap/>
        <w:overflowPunct/>
        <w:topLinePunct w:val="0"/>
        <w:bidi w:val="0"/>
        <w:spacing w:line="560" w:lineRule="exact"/>
        <w:jc w:val="left"/>
        <w:rPr>
          <w:rFonts w:hint="eastAsia"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rPr>
        <w:fldChar w:fldCharType="end"/>
      </w:r>
      <w:r>
        <w:rPr>
          <w:rFonts w:hint="eastAsia" w:eastAsia="仿宋" w:cs="Times New Roman"/>
          <w:color w:val="000000"/>
          <w:sz w:val="24"/>
          <w:highlight w:val="none"/>
          <w:lang w:val="en-US" w:eastAsia="zh-CN"/>
        </w:rPr>
        <w:t xml:space="preserve">                                                   </w:t>
      </w:r>
      <w:bookmarkStart w:id="12" w:name="_Toc15377196"/>
      <w:bookmarkStart w:id="13" w:name="_Toc15396599"/>
    </w:p>
    <w:p>
      <w:pPr>
        <w:pageBreakBefore w:val="0"/>
        <w:widowControl/>
        <w:kinsoku/>
        <w:wordWrap/>
        <w:overflowPunct/>
        <w:topLinePunct w:val="0"/>
        <w:bidi w:val="0"/>
        <w:spacing w:line="560" w:lineRule="exact"/>
        <w:jc w:val="left"/>
        <w:rPr>
          <w:rFonts w:hint="eastAsia" w:eastAsia="仿宋" w:cs="Times New Roman"/>
          <w:color w:val="000000"/>
          <w:sz w:val="24"/>
          <w:highlight w:val="none"/>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eastAsia" w:eastAsia="仿宋" w:cs="Times New Roman"/>
          <w:color w:val="000000"/>
          <w:sz w:val="24"/>
          <w:lang w:val="en-US" w:eastAsia="zh-CN"/>
        </w:rPr>
      </w:pPr>
    </w:p>
    <w:p>
      <w:pPr>
        <w:pageBreakBefore w:val="0"/>
        <w:widowControl/>
        <w:kinsoku/>
        <w:wordWrap/>
        <w:overflowPunct/>
        <w:topLinePunct w:val="0"/>
        <w:bidi w:val="0"/>
        <w:spacing w:line="560" w:lineRule="exact"/>
        <w:jc w:val="left"/>
        <w:rPr>
          <w:rFonts w:hint="default" w:eastAsia="仿宋" w:cs="Times New Roman"/>
          <w:color w:val="000000"/>
          <w:sz w:val="24"/>
          <w:lang w:val="en-US" w:eastAsia="zh-CN"/>
        </w:rPr>
      </w:pPr>
    </w:p>
    <w:p>
      <w:pPr>
        <w:pStyle w:val="2"/>
        <w:pageBreakBefore w:val="0"/>
        <w:kinsoku/>
        <w:wordWrap/>
        <w:overflowPunct/>
        <w:topLinePunct w:val="0"/>
        <w:bidi w:val="0"/>
        <w:spacing w:before="0" w:line="560" w:lineRule="exact"/>
        <w:jc w:val="center"/>
        <w:rPr>
          <w:rStyle w:val="15"/>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15"/>
          <w:rFonts w:hint="default" w:ascii="Times New Roman" w:hAnsi="Times New Roman" w:eastAsia="黑体" w:cs="Times New Roman"/>
          <w:b w:val="0"/>
          <w:bCs w:val="0"/>
        </w:rPr>
        <w:t>部门概况</w:t>
      </w:r>
      <w:bookmarkEnd w:id="12"/>
      <w:bookmarkEnd w:id="13"/>
    </w:p>
    <w:p>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pPr>
        <w:pStyle w:val="3"/>
        <w:pageBreakBefore w:val="0"/>
        <w:widowControl w:val="0"/>
        <w:kinsoku/>
        <w:wordWrap/>
        <w:overflowPunct/>
        <w:topLinePunct w:val="0"/>
        <w:autoSpaceDE/>
        <w:autoSpaceDN/>
        <w:bidi w:val="0"/>
        <w:spacing w:before="0" w:line="560" w:lineRule="exact"/>
        <w:ind w:firstLine="640" w:firstLineChars="200"/>
        <w:textAlignment w:val="auto"/>
        <w:rPr>
          <w:rStyle w:val="16"/>
          <w:rFonts w:hint="default" w:ascii="Times New Roman" w:hAnsi="Times New Roman" w:eastAsia="黑体" w:cs="Times New Roman"/>
          <w:b w:val="0"/>
          <w:bCs w:val="0"/>
        </w:rPr>
      </w:pPr>
      <w:bookmarkStart w:id="14" w:name="_Toc15377197"/>
      <w:bookmarkStart w:id="15" w:name="_Toc15396600"/>
      <w:r>
        <w:rPr>
          <w:rFonts w:hint="default" w:ascii="Times New Roman" w:hAnsi="Times New Roman" w:eastAsia="黑体" w:cs="Times New Roman"/>
          <w:b w:val="0"/>
          <w:color w:val="000000"/>
        </w:rPr>
        <w:t>一、基</w:t>
      </w:r>
      <w:r>
        <w:rPr>
          <w:rStyle w:val="16"/>
          <w:rFonts w:hint="default" w:ascii="Times New Roman" w:hAnsi="Times New Roman" w:eastAsia="黑体" w:cs="Times New Roman"/>
          <w:b w:val="0"/>
          <w:bCs w:val="0"/>
        </w:rPr>
        <w:t>本职能及主要工作</w:t>
      </w:r>
      <w:bookmarkEnd w:id="14"/>
      <w:bookmarkEnd w:id="15"/>
      <w:bookmarkStart w:id="16" w:name="_Toc15378445"/>
      <w:bookmarkStart w:id="17" w:name="_Toc15377198"/>
    </w:p>
    <w:p>
      <w:pPr>
        <w:pStyle w:val="5"/>
        <w:adjustRightInd w:val="0"/>
        <w:snapToGrid w:val="0"/>
        <w:spacing w:before="93" w:line="600" w:lineRule="exact"/>
        <w:ind w:firstLine="675" w:firstLineChars="210"/>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（一）主要职能。</w:t>
      </w:r>
      <w:bookmarkEnd w:id="16"/>
      <w:bookmarkEnd w:id="17"/>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1、执行国家行政机关的决定、命令和国家制定的法令、法规，执行本级人民代表大会的各项决议，并报告执行决议、决定和命令的情况。</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2、执行全镇的社会和经济发展计划、预算，管理本镇内的经济、教育、科技、文化、卫生、体育事业和财政、民政、治安、人民调解、安全生产监督管理、移民开发、计划生育等行政工作。</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3、制定并落实本镇的经济计划和措施，全面提高人民群众的生活水平和生活质量。</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4、保护社会主义的全民所有财产和劳动群众集体所有财产，保护公民私人所有的合法财产，维护社会秩序，保障公民的人身权利、民主权利和其他权利。</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5、贯彻执行党和国家的民族宗教政策，保障少数民族的权利和尊重少数民族的风俗习惯，尊重民族宗教信仰。</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6、保障宪法和法律赋予妇女的男女平等、婚姻自由等各项权利。</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7、开展社会主义民主和法制的宣传教育，保障公民的权利，打击违法犯罪，维护社会稳定。</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8、指导村（居）民委员会的组织制度建设和业务建设，促进村（居）民委员会民主自治。</w:t>
      </w:r>
    </w:p>
    <w:p>
      <w:pPr>
        <w:pStyle w:val="5"/>
        <w:adjustRightInd w:val="0"/>
        <w:snapToGrid w:val="0"/>
        <w:spacing w:before="93" w:line="520" w:lineRule="exact"/>
        <w:ind w:firstLine="624" w:firstLineChars="200"/>
        <w:rPr>
          <w:rFonts w:ascii="Times New Roman"/>
          <w:spacing w:val="-4"/>
          <w:sz w:val="32"/>
          <w:szCs w:val="32"/>
        </w:rPr>
      </w:pPr>
      <w:r>
        <w:rPr>
          <w:rFonts w:hint="eastAsia" w:ascii="Times New Roman"/>
          <w:spacing w:val="-4"/>
          <w:sz w:val="32"/>
          <w:szCs w:val="32"/>
        </w:rPr>
        <w:t>9、协助和支持设置在本行政区域内不隶属于镇的国家机关和企事业单位工作，监督其遵守和执行国家的法律、法规和政策。</w:t>
      </w:r>
    </w:p>
    <w:p>
      <w:pPr>
        <w:pStyle w:val="5"/>
        <w:adjustRightInd w:val="0"/>
        <w:snapToGrid w:val="0"/>
        <w:spacing w:before="93" w:line="600" w:lineRule="exact"/>
        <w:ind w:firstLine="655" w:firstLineChars="210"/>
        <w:outlineLvl w:val="2"/>
        <w:rPr>
          <w:rFonts w:hint="default" w:ascii="Times New Roman"/>
          <w:spacing w:val="-4"/>
          <w:sz w:val="32"/>
          <w:szCs w:val="32"/>
        </w:rPr>
      </w:pPr>
      <w:r>
        <w:rPr>
          <w:rFonts w:hint="eastAsia" w:ascii="Times New Roman"/>
          <w:spacing w:val="-4"/>
          <w:sz w:val="32"/>
          <w:szCs w:val="32"/>
        </w:rPr>
        <w:t>10、承办本级党委、人大和上级交办的其它事项。</w:t>
      </w:r>
      <w:bookmarkStart w:id="18" w:name="_Toc15378446"/>
      <w:bookmarkStart w:id="19" w:name="_Toc15377199"/>
    </w:p>
    <w:p>
      <w:pPr>
        <w:pStyle w:val="5"/>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p>
    <w:p>
      <w:pPr>
        <w:pStyle w:val="5"/>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hint="default" w:ascii="Times New Roman" w:hAnsi="Times New Roman" w:eastAsia="楷体_GB2312" w:cs="Times New Roman"/>
          <w:b/>
          <w:bCs w:val="0"/>
          <w:color w:val="000000"/>
          <w:sz w:val="32"/>
          <w:szCs w:val="32"/>
        </w:rPr>
      </w:pPr>
      <w:r>
        <w:rPr>
          <w:rFonts w:hint="eastAsia"/>
          <w:bCs/>
          <w:color w:val="000000"/>
          <w:sz w:val="32"/>
          <w:szCs w:val="32"/>
        </w:rPr>
        <w:t>全面完成201</w:t>
      </w:r>
      <w:r>
        <w:rPr>
          <w:rFonts w:hint="eastAsia"/>
          <w:bCs/>
          <w:color w:val="000000"/>
          <w:sz w:val="32"/>
          <w:szCs w:val="32"/>
          <w:lang w:val="en-US" w:eastAsia="zh-CN"/>
        </w:rPr>
        <w:t>9</w:t>
      </w:r>
      <w:r>
        <w:rPr>
          <w:rFonts w:hint="eastAsia"/>
          <w:bCs/>
          <w:color w:val="000000"/>
          <w:sz w:val="32"/>
          <w:szCs w:val="32"/>
        </w:rPr>
        <w:t>年财政决算工作及政府相关工作</w:t>
      </w:r>
      <w:r>
        <w:rPr>
          <w:rFonts w:hint="eastAsia"/>
          <w:bCs/>
          <w:color w:val="000000"/>
          <w:sz w:val="32"/>
          <w:szCs w:val="32"/>
          <w:lang w:eastAsia="zh-CN"/>
        </w:rPr>
        <w:t>。</w:t>
      </w:r>
    </w:p>
    <w:p>
      <w:pPr>
        <w:pStyle w:val="5"/>
        <w:pageBreakBefore w:val="0"/>
        <w:kinsoku/>
        <w:wordWrap/>
        <w:overflowPunct/>
        <w:topLinePunct w:val="0"/>
        <w:bidi w:val="0"/>
        <w:adjustRightInd w:val="0"/>
        <w:snapToGrid w:val="0"/>
        <w:spacing w:beforeLines="0" w:line="560" w:lineRule="exact"/>
        <w:ind w:firstLine="672" w:firstLineChars="210"/>
        <w:outlineLvl w:val="2"/>
        <w:rPr>
          <w:rFonts w:hint="default" w:ascii="Times New Roman" w:hAnsi="Times New Roman" w:eastAsia="仿宋_GB2312" w:cs="Times New Roman"/>
          <w:sz w:val="32"/>
          <w:szCs w:val="32"/>
          <w:shd w:val="clear" w:color="auto" w:fill="FFFFFF"/>
        </w:rPr>
      </w:pPr>
    </w:p>
    <w:p>
      <w:pPr>
        <w:pStyle w:val="3"/>
        <w:pageBreakBefore w:val="0"/>
        <w:kinsoku/>
        <w:wordWrap/>
        <w:overflowPunct/>
        <w:topLinePunct w:val="0"/>
        <w:bidi w:val="0"/>
        <w:spacing w:before="0" w:line="560" w:lineRule="exact"/>
        <w:ind w:firstLine="640" w:firstLineChars="200"/>
        <w:rPr>
          <w:rFonts w:ascii="仿宋" w:hAnsi="仿宋" w:eastAsia="仿宋"/>
          <w:sz w:val="32"/>
          <w:szCs w:val="32"/>
        </w:rPr>
      </w:pPr>
      <w:bookmarkStart w:id="20" w:name="_Toc15377200"/>
      <w:bookmarkStart w:id="21" w:name="_Toc15396601"/>
      <w:r>
        <w:rPr>
          <w:rFonts w:hint="default" w:ascii="Times New Roman" w:hAnsi="Times New Roman" w:eastAsia="黑体" w:cs="Times New Roman"/>
          <w:b w:val="0"/>
          <w:color w:val="000000"/>
        </w:rPr>
        <w:t>二、机</w:t>
      </w:r>
      <w:r>
        <w:rPr>
          <w:rStyle w:val="16"/>
          <w:rFonts w:hint="default" w:ascii="Times New Roman" w:hAnsi="Times New Roman" w:eastAsia="黑体" w:cs="Times New Roman"/>
          <w:b w:val="0"/>
          <w:bCs w:val="0"/>
        </w:rPr>
        <w:t>构设置</w:t>
      </w:r>
      <w:bookmarkEnd w:id="20"/>
      <w:bookmarkEnd w:id="21"/>
      <w:bookmarkStart w:id="22" w:name="_Toc15396602"/>
      <w:bookmarkStart w:id="23" w:name="_Toc15377204"/>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平昌县元山镇下属二级单位5个，其中其他事业单位5个。</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纳入平昌县元山镇2019年度部门决算编制范围的二级预算单位包括：</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四川省巴中市平昌县元山镇中心卫生院</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四川省巴中市平昌县张公卫生院</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四川省巴中市平昌县张公小学</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四川省巴中市平昌县元山小学</w:t>
      </w:r>
    </w:p>
    <w:p>
      <w:pPr>
        <w:pStyle w:val="5"/>
        <w:adjustRightInd w:val="0"/>
        <w:snapToGrid w:val="0"/>
        <w:spacing w:before="93" w:line="600" w:lineRule="exact"/>
        <w:ind w:firstLine="672" w:firstLineChars="210"/>
        <w:outlineLvl w:val="2"/>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四川省巴中市平昌县元山中学</w:t>
      </w:r>
      <w:bookmarkStart w:id="54" w:name="_GoBack"/>
      <w:bookmarkEnd w:id="54"/>
    </w:p>
    <w:p>
      <w:pPr>
        <w:pStyle w:val="5"/>
        <w:adjustRightInd w:val="0"/>
        <w:snapToGrid w:val="0"/>
        <w:spacing w:before="93" w:line="600" w:lineRule="exact"/>
        <w:rPr>
          <w:rFonts w:hint="eastAsia" w:ascii="仿宋" w:hAnsi="仿宋" w:eastAsia="仿宋"/>
          <w:color w:val="000000"/>
          <w:sz w:val="32"/>
          <w:szCs w:val="32"/>
        </w:rPr>
      </w:pPr>
    </w:p>
    <w:p>
      <w:pPr>
        <w:pStyle w:val="5"/>
        <w:adjustRightInd w:val="0"/>
        <w:snapToGrid w:val="0"/>
        <w:spacing w:before="93" w:line="600" w:lineRule="exact"/>
        <w:rPr>
          <w:rFonts w:hint="eastAsia" w:ascii="仿宋" w:hAnsi="仿宋" w:eastAsia="仿宋"/>
          <w:color w:val="000000"/>
          <w:sz w:val="32"/>
          <w:szCs w:val="32"/>
        </w:rPr>
      </w:pPr>
    </w:p>
    <w:p>
      <w:pPr>
        <w:pStyle w:val="2"/>
        <w:pageBreakBefore w:val="0"/>
        <w:kinsoku/>
        <w:wordWrap/>
        <w:overflowPunct/>
        <w:topLinePunct w:val="0"/>
        <w:bidi w:val="0"/>
        <w:spacing w:before="0" w:line="560" w:lineRule="exact"/>
        <w:ind w:right="440"/>
        <w:jc w:val="right"/>
        <w:rPr>
          <w:rStyle w:val="15"/>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15"/>
          <w:rFonts w:hint="default" w:ascii="Times New Roman" w:hAnsi="Times New Roman" w:eastAsia="黑体" w:cs="Times New Roman"/>
          <w:b w:val="0"/>
          <w:bCs w:val="0"/>
        </w:rPr>
        <w:t>201</w:t>
      </w:r>
      <w:r>
        <w:rPr>
          <w:rStyle w:val="15"/>
          <w:rFonts w:hint="eastAsia" w:eastAsia="黑体" w:cs="Times New Roman"/>
          <w:b w:val="0"/>
          <w:bCs w:val="0"/>
          <w:lang w:val="en-US" w:eastAsia="zh-CN"/>
        </w:rPr>
        <w:t>9</w:t>
      </w:r>
      <w:r>
        <w:rPr>
          <w:rStyle w:val="15"/>
          <w:rFonts w:hint="default" w:ascii="Times New Roman" w:hAnsi="Times New Roman" w:eastAsia="黑体" w:cs="Times New Roman"/>
          <w:b w:val="0"/>
          <w:bCs w:val="0"/>
        </w:rPr>
        <w:t>年度部门决算情况说明</w:t>
      </w:r>
      <w:bookmarkEnd w:id="22"/>
      <w:bookmarkEnd w:id="23"/>
    </w:p>
    <w:p>
      <w:pPr>
        <w:pageBreakBefore w:val="0"/>
        <w:kinsoku/>
        <w:wordWrap/>
        <w:overflowPunct/>
        <w:topLinePunct w:val="0"/>
        <w:bidi w:val="0"/>
        <w:spacing w:line="560" w:lineRule="exact"/>
        <w:rPr>
          <w:rFonts w:hint="default" w:ascii="Times New Roman" w:hAnsi="Times New Roman" w:cs="Times New Roman"/>
        </w:rPr>
      </w:pPr>
    </w:p>
    <w:p>
      <w:pPr>
        <w:pStyle w:val="17"/>
        <w:pageBreakBefore w:val="0"/>
        <w:numPr>
          <w:ilvl w:val="0"/>
          <w:numId w:val="1"/>
        </w:numPr>
        <w:kinsoku/>
        <w:wordWrap/>
        <w:overflowPunct/>
        <w:topLinePunct w:val="0"/>
        <w:bidi w:val="0"/>
        <w:spacing w:line="560" w:lineRule="exact"/>
        <w:ind w:firstLineChars="0"/>
        <w:outlineLvl w:val="1"/>
        <w:rPr>
          <w:rStyle w:val="16"/>
          <w:rFonts w:hint="default" w:ascii="Times New Roman" w:hAnsi="Times New Roman" w:eastAsia="黑体" w:cs="Times New Roman"/>
          <w:b w:val="0"/>
        </w:rPr>
      </w:pPr>
      <w:bookmarkStart w:id="24" w:name="_Toc15377205"/>
      <w:bookmarkStart w:id="25" w:name="_Toc15396603"/>
      <w:r>
        <w:rPr>
          <w:rFonts w:hint="default" w:ascii="Times New Roman" w:hAnsi="Times New Roman" w:eastAsia="黑体" w:cs="Times New Roman"/>
          <w:color w:val="000000"/>
          <w:sz w:val="32"/>
          <w:szCs w:val="32"/>
        </w:rPr>
        <w:t>收</w:t>
      </w:r>
      <w:r>
        <w:rPr>
          <w:rStyle w:val="16"/>
          <w:rFonts w:hint="default" w:ascii="Times New Roman" w:hAnsi="Times New Roman" w:eastAsia="黑体" w:cs="Times New Roman"/>
          <w:b w:val="0"/>
        </w:rPr>
        <w:t>入支出决算总体情况说明</w:t>
      </w:r>
      <w:bookmarkEnd w:id="24"/>
      <w:bookmarkEnd w:id="2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201</w:t>
      </w:r>
      <w:r>
        <w:rPr>
          <w:rFonts w:hint="eastAsia"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年度收、支总计</w:t>
      </w:r>
      <w:r>
        <w:rPr>
          <w:rFonts w:hint="eastAsia" w:ascii="Times New Roman" w:hAnsi="Times New Roman" w:eastAsia="仿宋" w:cs="Times New Roman"/>
          <w:color w:val="000000"/>
          <w:sz w:val="32"/>
          <w:szCs w:val="32"/>
          <w:lang w:eastAsia="zh-CN"/>
        </w:rPr>
        <w:t>各</w:t>
      </w:r>
      <w:r>
        <w:rPr>
          <w:rFonts w:hint="eastAsia" w:ascii="Times New Roman" w:hAnsi="Times New Roman" w:eastAsia="仿宋" w:cs="Times New Roman"/>
          <w:color w:val="000000"/>
          <w:sz w:val="32"/>
          <w:szCs w:val="32"/>
          <w:lang w:val="en-US" w:eastAsia="zh-CN"/>
        </w:rPr>
        <w:t>9512.14</w:t>
      </w:r>
      <w:r>
        <w:rPr>
          <w:rFonts w:hint="default" w:ascii="Times New Roman" w:hAnsi="Times New Roman" w:eastAsia="仿宋" w:cs="Times New Roman"/>
          <w:color w:val="000000"/>
          <w:sz w:val="32"/>
          <w:szCs w:val="32"/>
        </w:rPr>
        <w:t>万元。与201</w:t>
      </w:r>
      <w:r>
        <w:rPr>
          <w:rFonts w:hint="eastAsia" w:ascii="Times New Roman" w:hAnsi="Times New Roman" w:eastAsia="仿宋" w:cs="Times New Roman"/>
          <w:color w:val="000000"/>
          <w:sz w:val="32"/>
          <w:szCs w:val="32"/>
          <w:lang w:val="en-US" w:eastAsia="zh-CN"/>
        </w:rPr>
        <w:t>8</w:t>
      </w:r>
      <w:r>
        <w:rPr>
          <w:rFonts w:hint="default" w:ascii="Times New Roman" w:hAnsi="Times New Roman" w:eastAsia="仿宋" w:cs="Times New Roman"/>
          <w:color w:val="000000"/>
          <w:sz w:val="32"/>
          <w:szCs w:val="32"/>
        </w:rPr>
        <w:t>年相比，收、支总计各</w:t>
      </w:r>
      <w:r>
        <w:rPr>
          <w:rFonts w:hint="eastAsia" w:ascii="仿宋_GB2312" w:eastAsia="仿宋_GB2312"/>
          <w:sz w:val="32"/>
          <w:szCs w:val="32"/>
        </w:rPr>
        <w:t>增加367.</w:t>
      </w:r>
      <w:r>
        <w:rPr>
          <w:rFonts w:hint="eastAsia" w:ascii="仿宋_GB2312" w:eastAsia="仿宋_GB2312"/>
          <w:sz w:val="32"/>
          <w:szCs w:val="32"/>
          <w:lang w:val="en-US" w:eastAsia="zh-CN"/>
        </w:rPr>
        <w:t>67</w:t>
      </w:r>
      <w:r>
        <w:rPr>
          <w:rFonts w:hint="eastAsia" w:ascii="仿宋_GB2312" w:eastAsia="仿宋_GB2312"/>
          <w:sz w:val="32"/>
          <w:szCs w:val="32"/>
        </w:rPr>
        <w:t xml:space="preserve"> </w:t>
      </w:r>
      <w:r>
        <w:rPr>
          <w:rFonts w:hint="default" w:ascii="Times New Roman" w:hAnsi="Times New Roman" w:eastAsia="仿宋" w:cs="Times New Roman"/>
          <w:color w:val="000000"/>
          <w:sz w:val="32"/>
          <w:szCs w:val="32"/>
        </w:rPr>
        <w:t>万元，</w:t>
      </w:r>
      <w:r>
        <w:rPr>
          <w:rFonts w:hint="eastAsia" w:ascii="仿宋_GB2312" w:eastAsia="仿宋_GB2312"/>
          <w:sz w:val="32"/>
          <w:szCs w:val="32"/>
        </w:rPr>
        <w:t>增</w:t>
      </w:r>
      <w:r>
        <w:rPr>
          <w:rFonts w:hint="eastAsia" w:ascii="仿宋_GB2312" w:eastAsia="仿宋_GB2312"/>
          <w:sz w:val="32"/>
          <w:szCs w:val="32"/>
          <w:highlight w:val="none"/>
        </w:rPr>
        <w:t>长4.20%。</w:t>
      </w: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highlight w:val="none"/>
          <w:lang w:eastAsia="zh-CN"/>
        </w:rPr>
        <w:t>：新进人员增加、工资晋级、目标考核经费等。</w:t>
      </w:r>
    </w:p>
    <w:p>
      <w:pPr>
        <w:pStyle w:val="17"/>
        <w:pageBreakBefore w:val="0"/>
        <w:numPr>
          <w:ilvl w:val="0"/>
          <w:numId w:val="1"/>
        </w:numPr>
        <w:kinsoku/>
        <w:wordWrap/>
        <w:overflowPunct/>
        <w:topLinePunct w:val="0"/>
        <w:bidi w:val="0"/>
        <w:spacing w:line="560" w:lineRule="exact"/>
        <w:ind w:firstLineChars="0"/>
        <w:outlineLvl w:val="1"/>
        <w:rPr>
          <w:rStyle w:val="16"/>
          <w:rFonts w:hint="default" w:ascii="Times New Roman" w:hAnsi="Times New Roman" w:eastAsia="黑体" w:cs="Times New Roman"/>
          <w:b w:val="0"/>
        </w:rPr>
      </w:pPr>
      <w:bookmarkStart w:id="26" w:name="_Toc15377206"/>
      <w:bookmarkStart w:id="27" w:name="_Toc15396604"/>
      <w:r>
        <w:rPr>
          <w:rFonts w:hint="default" w:ascii="Times New Roman" w:hAnsi="Times New Roman" w:eastAsia="黑体" w:cs="Times New Roman"/>
          <w:color w:val="000000"/>
          <w:sz w:val="32"/>
          <w:szCs w:val="32"/>
        </w:rPr>
        <w:t>收</w:t>
      </w:r>
      <w:r>
        <w:rPr>
          <w:rStyle w:val="16"/>
          <w:rFonts w:hint="default" w:ascii="Times New Roman" w:hAnsi="Times New Roman" w:eastAsia="黑体" w:cs="Times New Roman"/>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bookmarkStart w:id="28" w:name="_Toc15396605"/>
      <w:bookmarkStart w:id="29"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eastAsia="仿宋" w:cs="Times New Roman"/>
          <w:color w:val="000000"/>
          <w:sz w:val="32"/>
          <w:szCs w:val="32"/>
          <w:lang w:val="en-US" w:eastAsia="zh-CN"/>
        </w:rPr>
        <w:t>9512.14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9078.11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95.44%</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53.89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0.57%</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380.14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3.99%</w:t>
      </w:r>
      <w:r>
        <w:rPr>
          <w:rFonts w:hint="eastAsia" w:ascii="仿宋" w:hAnsi="仿宋" w:eastAsia="仿宋"/>
          <w:color w:val="000000"/>
          <w:sz w:val="32"/>
          <w:szCs w:val="32"/>
        </w:rPr>
        <w:t>。</w:t>
      </w:r>
    </w:p>
    <w:p>
      <w:pPr>
        <w:pStyle w:val="17"/>
        <w:pageBreakBefore w:val="0"/>
        <w:numPr>
          <w:ilvl w:val="0"/>
          <w:numId w:val="1"/>
        </w:numPr>
        <w:kinsoku/>
        <w:wordWrap/>
        <w:overflowPunct/>
        <w:topLinePunct w:val="0"/>
        <w:bidi w:val="0"/>
        <w:spacing w:line="560" w:lineRule="exact"/>
        <w:ind w:firstLineChars="0"/>
        <w:outlineLvl w:val="1"/>
        <w:rPr>
          <w:rStyle w:val="16"/>
          <w:rFonts w:hint="default" w:ascii="Times New Roman" w:hAnsi="Times New Roman" w:eastAsia="黑体" w:cs="Times New Roman"/>
          <w:b w:val="0"/>
        </w:rPr>
      </w:pPr>
      <w:r>
        <w:rPr>
          <w:rFonts w:hint="default" w:ascii="Times New Roman" w:hAnsi="Times New Roman" w:eastAsia="黑体" w:cs="Times New Roman"/>
          <w:color w:val="000000"/>
          <w:sz w:val="32"/>
          <w:szCs w:val="32"/>
        </w:rPr>
        <w:t>支</w:t>
      </w:r>
      <w:r>
        <w:rPr>
          <w:rStyle w:val="16"/>
          <w:rFonts w:hint="default" w:ascii="Times New Roman" w:hAnsi="Times New Roman" w:eastAsia="黑体" w:cs="Times New Roman"/>
          <w:b w:val="0"/>
        </w:rPr>
        <w:t>出决算情况说明</w:t>
      </w:r>
      <w:bookmarkEnd w:id="28"/>
      <w:bookmarkEnd w:id="29"/>
    </w:p>
    <w:p>
      <w:pPr>
        <w:spacing w:line="600" w:lineRule="exact"/>
        <w:ind w:firstLine="640" w:firstLineChars="200"/>
        <w:outlineLvl w:val="1"/>
        <w:rPr>
          <w:rFonts w:hint="default" w:ascii="Times New Roman" w:hAnsi="Times New Roman" w:eastAsia="黑体" w:cs="Times New Roman"/>
          <w:color w:val="000000"/>
          <w:sz w:val="32"/>
          <w:szCs w:val="32"/>
        </w:rPr>
      </w:pPr>
      <w:bookmarkStart w:id="30" w:name="_Toc15396606"/>
      <w:bookmarkStart w:id="31"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9512.14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5751.88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60.47%</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3760.26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39.53%</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outlineLvl w:val="1"/>
        <w:rPr>
          <w:rStyle w:val="16"/>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16"/>
          <w:rFonts w:hint="default" w:ascii="Times New Roman" w:hAnsi="Times New Roman" w:eastAsia="黑体" w:cs="Times New Roman"/>
          <w:b w:val="0"/>
        </w:rPr>
        <w:t>政拨款收入支出决算总体情况说明</w:t>
      </w:r>
      <w:bookmarkEnd w:id="30"/>
      <w:bookmarkEnd w:id="31"/>
    </w:p>
    <w:p>
      <w:pPr>
        <w:spacing w:line="560" w:lineRule="exact"/>
        <w:ind w:firstLine="640" w:firstLineChars="200"/>
        <w:rPr>
          <w:rFonts w:hint="eastAsia" w:ascii="仿宋" w:hAnsi="仿宋" w:eastAsia="仿宋"/>
          <w:color w:val="000000"/>
          <w:sz w:val="32"/>
          <w:szCs w:val="32"/>
        </w:rPr>
      </w:pPr>
      <w:bookmarkStart w:id="32" w:name="_Toc15377209"/>
      <w:bookmarkStart w:id="33" w:name="_Toc15396607"/>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9132.00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w:t>
      </w:r>
      <w:r>
        <w:rPr>
          <w:rFonts w:hint="default" w:ascii="仿宋" w:hAnsi="仿宋" w:eastAsia="仿宋"/>
          <w:color w:val="000000"/>
          <w:sz w:val="32"/>
          <w:szCs w:val="32"/>
        </w:rPr>
        <w:t>增加</w:t>
      </w:r>
      <w:r>
        <w:rPr>
          <w:rFonts w:hint="eastAsia" w:ascii="仿宋" w:hAnsi="仿宋" w:eastAsia="仿宋"/>
          <w:color w:val="000000"/>
          <w:sz w:val="32"/>
          <w:szCs w:val="32"/>
          <w:lang w:eastAsia="zh-CN"/>
        </w:rPr>
        <w:t>367.93</w:t>
      </w:r>
      <w:r>
        <w:rPr>
          <w:rFonts w:hint="eastAsia" w:ascii="仿宋" w:hAnsi="仿宋" w:eastAsia="仿宋"/>
          <w:color w:val="000000"/>
          <w:sz w:val="32"/>
          <w:szCs w:val="32"/>
          <w:lang w:val="en-US" w:eastAsia="zh-CN"/>
        </w:rPr>
        <w:t xml:space="preserve"> </w:t>
      </w:r>
      <w:r>
        <w:rPr>
          <w:rFonts w:hint="default" w:ascii="仿宋" w:hAnsi="仿宋" w:eastAsia="仿宋"/>
          <w:color w:val="000000"/>
          <w:sz w:val="32"/>
          <w:szCs w:val="32"/>
        </w:rPr>
        <w:t>万元，增长</w:t>
      </w:r>
      <w:r>
        <w:rPr>
          <w:rFonts w:hint="eastAsia" w:ascii="仿宋" w:hAnsi="仿宋" w:eastAsia="仿宋"/>
          <w:color w:val="000000"/>
          <w:sz w:val="32"/>
          <w:szCs w:val="32"/>
          <w:lang w:val="en-US" w:eastAsia="zh-CN"/>
        </w:rPr>
        <w:t>4.20%</w:t>
      </w:r>
      <w:r>
        <w:rPr>
          <w:rFonts w:hint="eastAsia" w:ascii="仿宋" w:hAnsi="仿宋" w:eastAsia="仿宋"/>
          <w:color w:val="000000"/>
          <w:sz w:val="32"/>
          <w:szCs w:val="32"/>
        </w:rPr>
        <w:t>。主要原因是新进人员增加、工资晋级、目标考核经费等。</w:t>
      </w:r>
      <w:bookmarkEnd w:id="32"/>
      <w:bookmarkEnd w:id="33"/>
      <w:bookmarkStart w:id="34" w:name="_Toc15377214"/>
      <w:bookmarkStart w:id="35" w:name="_Toc15396608"/>
    </w:p>
    <w:p>
      <w:pPr>
        <w:spacing w:line="600" w:lineRule="exact"/>
        <w:ind w:firstLine="640" w:firstLineChars="200"/>
        <w:outlineLvl w:val="1"/>
        <w:rPr>
          <w:rStyle w:val="1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9078.11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99.41%</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w:t>
      </w:r>
      <w:r>
        <w:rPr>
          <w:rFonts w:hint="eastAsia" w:ascii="仿宋" w:hAnsi="仿宋" w:eastAsia="仿宋"/>
          <w:color w:val="000000"/>
          <w:sz w:val="32"/>
          <w:szCs w:val="32"/>
          <w:highlight w:val="none"/>
        </w:rPr>
        <w:t>款</w:t>
      </w:r>
      <w:r>
        <w:rPr>
          <w:rFonts w:hint="default" w:ascii="Times New Roman" w:hAnsi="Times New Roman" w:eastAsia="仿宋" w:cs="Times New Roman"/>
          <w:color w:val="000000"/>
          <w:sz w:val="32"/>
          <w:szCs w:val="32"/>
          <w:highlight w:val="none"/>
        </w:rPr>
        <w:t>增加</w:t>
      </w:r>
      <w:r>
        <w:rPr>
          <w:rFonts w:hint="eastAsia" w:eastAsia="仿宋" w:cs="Times New Roman"/>
          <w:color w:val="000000"/>
          <w:sz w:val="32"/>
          <w:szCs w:val="32"/>
          <w:highlight w:val="none"/>
          <w:lang w:eastAsia="zh-CN"/>
        </w:rPr>
        <w:t>599.2</w:t>
      </w:r>
      <w:r>
        <w:rPr>
          <w:rFonts w:hint="eastAsia" w:eastAsia="仿宋" w:cs="Times New Roman"/>
          <w:color w:val="000000"/>
          <w:sz w:val="32"/>
          <w:szCs w:val="32"/>
          <w:highlight w:val="none"/>
          <w:lang w:val="en-US" w:eastAsia="zh-CN"/>
        </w:rPr>
        <w:t xml:space="preserve"> </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eastAsia="zh-CN"/>
        </w:rPr>
        <w:t>7.07%</w:t>
      </w:r>
      <w:r>
        <w:rPr>
          <w:rFonts w:hint="eastAsia" w:ascii="仿宋" w:hAnsi="仿宋" w:eastAsia="仿宋"/>
          <w:color w:val="000000"/>
          <w:sz w:val="32"/>
          <w:szCs w:val="32"/>
        </w:rPr>
        <w:t>。主要原因是新进人员增加、工资晋级、目标考核经费等。</w:t>
      </w:r>
    </w:p>
    <w:p>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 xml:space="preserve"> 9078.11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一般公共服务</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504.74万元，占</w:t>
      </w:r>
      <w:r>
        <w:rPr>
          <w:rFonts w:hint="eastAsia" w:ascii="仿宋" w:hAnsi="仿宋" w:eastAsia="仿宋" w:cs="Times New Roman"/>
          <w:color w:val="000000" w:themeColor="text1"/>
          <w:sz w:val="32"/>
          <w:szCs w:val="32"/>
          <w:lang w:val="en-US" w:eastAsia="zh-CN"/>
          <w14:textFill>
            <w14:solidFill>
              <w14:schemeClr w14:val="tx1"/>
            </w14:solidFill>
          </w14:textFill>
        </w:rPr>
        <w:t>5.56%</w:t>
      </w:r>
      <w:r>
        <w:rPr>
          <w:rFonts w:hint="eastAsia" w:ascii="仿宋" w:hAnsi="仿宋" w:eastAsia="仿宋" w:cs="Times New Roman"/>
          <w:color w:val="000000" w:themeColor="text1"/>
          <w:sz w:val="32"/>
          <w:szCs w:val="32"/>
          <w14:textFill>
            <w14:solidFill>
              <w14:schemeClr w14:val="tx1"/>
            </w14:solidFill>
          </w14:textFill>
        </w:rPr>
        <w:t>；国防</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2.00万元，占</w:t>
      </w:r>
      <w:r>
        <w:rPr>
          <w:rFonts w:hint="eastAsia" w:ascii="仿宋" w:hAnsi="仿宋" w:eastAsia="仿宋" w:cs="Times New Roman"/>
          <w:color w:val="000000" w:themeColor="text1"/>
          <w:sz w:val="32"/>
          <w:szCs w:val="32"/>
          <w:lang w:val="en-US" w:eastAsia="zh-CN"/>
          <w14:textFill>
            <w14:solidFill>
              <w14:schemeClr w14:val="tx1"/>
            </w14:solidFill>
          </w14:textFill>
        </w:rPr>
        <w:t>0.02%</w:t>
      </w:r>
      <w:r>
        <w:rPr>
          <w:rFonts w:hint="eastAsia" w:ascii="仿宋" w:hAnsi="仿宋" w:eastAsia="仿宋" w:cs="Times New Roman"/>
          <w:color w:val="000000" w:themeColor="text1"/>
          <w:sz w:val="32"/>
          <w:szCs w:val="32"/>
          <w14:textFill>
            <w14:solidFill>
              <w14:schemeClr w14:val="tx1"/>
            </w14:solidFill>
          </w14:textFill>
        </w:rPr>
        <w:t>；公共安全</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26.48万元，占</w:t>
      </w:r>
      <w:r>
        <w:rPr>
          <w:rFonts w:hint="eastAsia" w:ascii="仿宋" w:hAnsi="仿宋" w:eastAsia="仿宋" w:cs="Times New Roman"/>
          <w:color w:val="000000" w:themeColor="text1"/>
          <w:sz w:val="32"/>
          <w:szCs w:val="32"/>
          <w:lang w:val="en-US" w:eastAsia="zh-CN"/>
          <w14:textFill>
            <w14:solidFill>
              <w14:schemeClr w14:val="tx1"/>
            </w14:solidFill>
          </w14:textFill>
        </w:rPr>
        <w:t>0.29%</w:t>
      </w:r>
      <w:r>
        <w:rPr>
          <w:rFonts w:hint="eastAsia" w:ascii="仿宋" w:hAnsi="仿宋" w:eastAsia="仿宋" w:cs="Times New Roman"/>
          <w:color w:val="000000" w:themeColor="text1"/>
          <w:sz w:val="32"/>
          <w:szCs w:val="32"/>
          <w14:textFill>
            <w14:solidFill>
              <w14:schemeClr w14:val="tx1"/>
            </w14:solidFill>
          </w14:textFill>
        </w:rPr>
        <w:t>；教育支出（类）3875.78万元，占</w:t>
      </w:r>
      <w:r>
        <w:rPr>
          <w:rFonts w:hint="eastAsia" w:ascii="仿宋" w:hAnsi="仿宋" w:eastAsia="仿宋" w:cs="Times New Roman"/>
          <w:color w:val="000000" w:themeColor="text1"/>
          <w:sz w:val="32"/>
          <w:szCs w:val="32"/>
          <w:lang w:val="en-US" w:eastAsia="zh-CN"/>
          <w14:textFill>
            <w14:solidFill>
              <w14:schemeClr w14:val="tx1"/>
            </w14:solidFill>
          </w14:textFill>
        </w:rPr>
        <w:t>42.69%</w:t>
      </w:r>
      <w:r>
        <w:rPr>
          <w:rFonts w:hint="eastAsia" w:ascii="仿宋" w:hAnsi="仿宋" w:eastAsia="仿宋" w:cs="Times New Roman"/>
          <w:color w:val="000000" w:themeColor="text1"/>
          <w:sz w:val="32"/>
          <w:szCs w:val="32"/>
          <w14:textFill>
            <w14:solidFill>
              <w14:schemeClr w14:val="tx1"/>
            </w14:solidFill>
          </w14:textFill>
        </w:rPr>
        <w:t>；文化体育与传媒</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70.54万元，占</w:t>
      </w:r>
      <w:r>
        <w:rPr>
          <w:rFonts w:hint="eastAsia" w:ascii="仿宋" w:hAnsi="仿宋" w:eastAsia="仿宋" w:cs="Times New Roman"/>
          <w:color w:val="000000" w:themeColor="text1"/>
          <w:sz w:val="32"/>
          <w:szCs w:val="32"/>
          <w:lang w:val="en-US" w:eastAsia="zh-CN"/>
          <w14:textFill>
            <w14:solidFill>
              <w14:schemeClr w14:val="tx1"/>
            </w14:solidFill>
          </w14:textFill>
        </w:rPr>
        <w:t>0.78%</w:t>
      </w:r>
      <w:r>
        <w:rPr>
          <w:rFonts w:hint="eastAsia" w:ascii="仿宋" w:hAnsi="仿宋" w:eastAsia="仿宋" w:cs="Times New Roman"/>
          <w:color w:val="000000" w:themeColor="text1"/>
          <w:sz w:val="32"/>
          <w:szCs w:val="32"/>
          <w14:textFill>
            <w14:solidFill>
              <w14:schemeClr w14:val="tx1"/>
            </w14:solidFill>
          </w14:textFill>
        </w:rPr>
        <w:t>；社会保障和就业</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649.97万元，占</w:t>
      </w:r>
      <w:r>
        <w:rPr>
          <w:rFonts w:hint="eastAsia" w:ascii="仿宋" w:hAnsi="仿宋" w:eastAsia="仿宋" w:cs="Times New Roman"/>
          <w:color w:val="000000" w:themeColor="text1"/>
          <w:sz w:val="32"/>
          <w:szCs w:val="32"/>
          <w:lang w:val="en-US" w:eastAsia="zh-CN"/>
          <w14:textFill>
            <w14:solidFill>
              <w14:schemeClr w14:val="tx1"/>
            </w14:solidFill>
          </w14:textFill>
        </w:rPr>
        <w:t>7.16%</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卫生健康</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1265.65万元，占</w:t>
      </w:r>
      <w:r>
        <w:rPr>
          <w:rFonts w:hint="eastAsia" w:ascii="仿宋" w:hAnsi="仿宋" w:eastAsia="仿宋" w:cs="Times New Roman"/>
          <w:color w:val="000000" w:themeColor="text1"/>
          <w:sz w:val="32"/>
          <w:szCs w:val="32"/>
          <w:lang w:val="en-US" w:eastAsia="zh-CN"/>
          <w14:textFill>
            <w14:solidFill>
              <w14:schemeClr w14:val="tx1"/>
            </w14:solidFill>
          </w14:textFill>
        </w:rPr>
        <w:t>13.94%</w:t>
      </w:r>
      <w:r>
        <w:rPr>
          <w:rFonts w:hint="eastAsia" w:ascii="仿宋" w:hAnsi="仿宋" w:eastAsia="仿宋" w:cs="Times New Roman"/>
          <w:color w:val="000000" w:themeColor="text1"/>
          <w:sz w:val="32"/>
          <w:szCs w:val="32"/>
          <w14:textFill>
            <w14:solidFill>
              <w14:schemeClr w14:val="tx1"/>
            </w14:solidFill>
          </w14:textFill>
        </w:rPr>
        <w:t>；节能环保</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17.68万元，占</w:t>
      </w:r>
      <w:r>
        <w:rPr>
          <w:rFonts w:hint="eastAsia" w:ascii="仿宋" w:hAnsi="仿宋" w:eastAsia="仿宋" w:cs="Times New Roman"/>
          <w:color w:val="000000" w:themeColor="text1"/>
          <w:sz w:val="32"/>
          <w:szCs w:val="32"/>
          <w:lang w:val="en-US" w:eastAsia="zh-CN"/>
          <w14:textFill>
            <w14:solidFill>
              <w14:schemeClr w14:val="tx1"/>
            </w14:solidFill>
          </w14:textFill>
        </w:rPr>
        <w:t>0.19%</w:t>
      </w:r>
      <w:r>
        <w:rPr>
          <w:rFonts w:hint="eastAsia" w:ascii="仿宋" w:hAnsi="仿宋" w:eastAsia="仿宋" w:cs="Times New Roman"/>
          <w:color w:val="000000" w:themeColor="text1"/>
          <w:sz w:val="32"/>
          <w:szCs w:val="32"/>
          <w14:textFill>
            <w14:solidFill>
              <w14:schemeClr w14:val="tx1"/>
            </w14:solidFill>
          </w14:textFill>
        </w:rPr>
        <w:t>；城乡社区</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63.89万元，占</w:t>
      </w:r>
      <w:r>
        <w:rPr>
          <w:rFonts w:hint="eastAsia" w:ascii="仿宋" w:hAnsi="仿宋" w:eastAsia="仿宋" w:cs="Times New Roman"/>
          <w:color w:val="000000" w:themeColor="text1"/>
          <w:sz w:val="32"/>
          <w:szCs w:val="32"/>
          <w:lang w:val="en-US" w:eastAsia="zh-CN"/>
          <w14:textFill>
            <w14:solidFill>
              <w14:schemeClr w14:val="tx1"/>
            </w14:solidFill>
          </w14:textFill>
        </w:rPr>
        <w:t>0.70%</w:t>
      </w:r>
      <w:r>
        <w:rPr>
          <w:rFonts w:hint="eastAsia" w:ascii="仿宋" w:hAnsi="仿宋" w:eastAsia="仿宋" w:cs="Times New Roman"/>
          <w:color w:val="000000" w:themeColor="text1"/>
          <w:sz w:val="32"/>
          <w:szCs w:val="32"/>
          <w14:textFill>
            <w14:solidFill>
              <w14:schemeClr w14:val="tx1"/>
            </w14:solidFill>
          </w14:textFill>
        </w:rPr>
        <w:t>；农林水</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1681.34万元，占</w:t>
      </w:r>
      <w:r>
        <w:rPr>
          <w:rFonts w:hint="eastAsia" w:ascii="仿宋" w:hAnsi="仿宋" w:eastAsia="仿宋" w:cs="Times New Roman"/>
          <w:color w:val="000000" w:themeColor="text1"/>
          <w:sz w:val="32"/>
          <w:szCs w:val="32"/>
          <w:lang w:val="en-US" w:eastAsia="zh-CN"/>
          <w14:textFill>
            <w14:solidFill>
              <w14:schemeClr w14:val="tx1"/>
            </w14:solidFill>
          </w14:textFill>
        </w:rPr>
        <w:t>18.52%</w:t>
      </w:r>
      <w:r>
        <w:rPr>
          <w:rFonts w:hint="eastAsia" w:ascii="仿宋" w:hAnsi="仿宋" w:eastAsia="仿宋" w:cs="Times New Roman"/>
          <w:color w:val="000000" w:themeColor="text1"/>
          <w:sz w:val="32"/>
          <w:szCs w:val="32"/>
          <w14:textFill>
            <w14:solidFill>
              <w14:schemeClr w14:val="tx1"/>
            </w14:solidFill>
          </w14:textFill>
        </w:rPr>
        <w:t>；交通运输</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14.84万元，占</w:t>
      </w:r>
      <w:r>
        <w:rPr>
          <w:rFonts w:hint="eastAsia" w:ascii="仿宋" w:hAnsi="仿宋" w:eastAsia="仿宋" w:cs="Times New Roman"/>
          <w:color w:val="000000" w:themeColor="text1"/>
          <w:sz w:val="32"/>
          <w:szCs w:val="32"/>
          <w:lang w:val="en-US" w:eastAsia="zh-CN"/>
          <w14:textFill>
            <w14:solidFill>
              <w14:schemeClr w14:val="tx1"/>
            </w14:solidFill>
          </w14:textFill>
        </w:rPr>
        <w:t>0.16%</w:t>
      </w:r>
      <w:r>
        <w:rPr>
          <w:rFonts w:hint="eastAsia" w:ascii="仿宋" w:hAnsi="仿宋" w:eastAsia="仿宋" w:cs="Times New Roman"/>
          <w:color w:val="000000" w:themeColor="text1"/>
          <w:sz w:val="32"/>
          <w:szCs w:val="32"/>
          <w14:textFill>
            <w14:solidFill>
              <w14:schemeClr w14:val="tx1"/>
            </w14:solidFill>
          </w14:textFill>
        </w:rPr>
        <w:t>；住房保障</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768.20万元，占</w:t>
      </w:r>
      <w:r>
        <w:rPr>
          <w:rFonts w:hint="eastAsia" w:ascii="仿宋" w:hAnsi="仿宋" w:eastAsia="仿宋" w:cs="Times New Roman"/>
          <w:color w:val="000000" w:themeColor="text1"/>
          <w:sz w:val="32"/>
          <w:szCs w:val="32"/>
          <w:lang w:val="en-US" w:eastAsia="zh-CN"/>
          <w14:textFill>
            <w14:solidFill>
              <w14:schemeClr w14:val="tx1"/>
            </w14:solidFill>
          </w14:textFill>
        </w:rPr>
        <w:t>8.46%</w:t>
      </w:r>
      <w:r>
        <w:rPr>
          <w:rFonts w:hint="eastAsia" w:ascii="仿宋" w:hAnsi="仿宋" w:eastAsia="仿宋" w:cs="Times New Roman"/>
          <w:color w:val="000000" w:themeColor="text1"/>
          <w:sz w:val="32"/>
          <w:szCs w:val="32"/>
          <w14:textFill>
            <w14:solidFill>
              <w14:schemeClr w14:val="tx1"/>
            </w14:solidFill>
          </w14:textFill>
        </w:rPr>
        <w:t>；灾害防治及应急管理</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37.00万元，占0.41%；债务付息</w:t>
      </w:r>
      <w:r>
        <w:rPr>
          <w:rFonts w:hint="eastAsia" w:ascii="仿宋" w:hAnsi="仿宋" w:eastAsia="仿宋" w:cs="Times New Roman"/>
          <w:color w:val="000000" w:themeColor="text1"/>
          <w:sz w:val="32"/>
          <w:szCs w:val="32"/>
          <w:lang w:eastAsia="zh-CN"/>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100.00万元，占1.10%</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Style w:val="13"/>
          <w:rFonts w:hint="eastAsia" w:ascii="仿宋" w:hAnsi="仿宋" w:eastAsia="仿宋"/>
          <w:bCs/>
          <w:color w:val="000000"/>
          <w:sz w:val="32"/>
          <w:szCs w:val="32"/>
        </w:rPr>
      </w:pPr>
      <w:bookmarkStart w:id="39" w:name="_Toc15377213"/>
      <w:bookmarkStart w:id="40" w:name="_Toc15377444"/>
      <w:bookmarkStart w:id="41"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年一般公共预算支出决算数为</w:t>
      </w:r>
      <w:r>
        <w:rPr>
          <w:rFonts w:hint="eastAsia" w:ascii="仿宋" w:hAnsi="仿宋" w:eastAsia="仿宋"/>
          <w:color w:val="000000" w:themeColor="text1"/>
          <w:sz w:val="32"/>
          <w:szCs w:val="32"/>
          <w:lang w:val="en-US" w:eastAsia="zh-CN"/>
          <w14:textFill>
            <w14:solidFill>
              <w14:schemeClr w14:val="tx1"/>
            </w14:solidFill>
          </w14:textFill>
        </w:rPr>
        <w:t>9078.11万元</w:t>
      </w:r>
      <w:r>
        <w:rPr>
          <w:rFonts w:hint="eastAsia" w:ascii="仿宋" w:hAnsi="仿宋" w:eastAsia="仿宋"/>
          <w:color w:val="000000" w:themeColor="text1"/>
          <w:sz w:val="32"/>
          <w:szCs w:val="32"/>
          <w14:textFill>
            <w14:solidFill>
              <w14:schemeClr w14:val="tx1"/>
            </w14:solidFill>
          </w14:textFill>
        </w:rPr>
        <w:t>，</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9"/>
      <w:bookmarkEnd w:id="40"/>
      <w:bookmarkEnd w:id="41"/>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val="en-US" w:eastAsia="zh-CN"/>
        </w:rPr>
      </w:pPr>
      <w:r>
        <w:rPr>
          <w:rStyle w:val="13"/>
          <w:rFonts w:hint="eastAsia" w:ascii="仿宋" w:hAnsi="仿宋" w:eastAsia="仿宋"/>
          <w:bCs/>
          <w:color w:val="auto"/>
          <w:sz w:val="32"/>
          <w:szCs w:val="32"/>
          <w:highlight w:val="none"/>
          <w:lang w:val="en-US" w:eastAsia="zh-CN"/>
        </w:rPr>
        <w:t>1.</w:t>
      </w:r>
      <w:r>
        <w:rPr>
          <w:rStyle w:val="13"/>
          <w:rFonts w:hint="eastAsia" w:ascii="仿宋" w:hAnsi="仿宋" w:eastAsia="仿宋"/>
          <w:bCs/>
          <w:color w:val="auto"/>
          <w:sz w:val="32"/>
          <w:szCs w:val="32"/>
          <w:highlight w:val="none"/>
        </w:rPr>
        <w:t>一般公共服务支出（类）人大事务（款）其他人大事务支出（项）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Style w:val="13"/>
          <w:rFonts w:hint="eastAsia" w:ascii="仿宋" w:hAnsi="仿宋" w:eastAsia="仿宋"/>
          <w:bCs/>
          <w:color w:val="auto"/>
          <w:sz w:val="32"/>
          <w:szCs w:val="32"/>
          <w:highlight w:val="none"/>
          <w:lang w:val="en-US" w:eastAsia="zh-CN"/>
        </w:rPr>
        <w:t>2.</w:t>
      </w:r>
      <w:r>
        <w:rPr>
          <w:rStyle w:val="13"/>
          <w:rFonts w:hint="eastAsia" w:ascii="仿宋" w:hAnsi="仿宋" w:eastAsia="仿宋"/>
          <w:bCs/>
          <w:color w:val="auto"/>
          <w:sz w:val="32"/>
          <w:szCs w:val="32"/>
          <w:highlight w:val="none"/>
        </w:rPr>
        <w:t>一般公共服务支出（类）</w:t>
      </w:r>
      <w:r>
        <w:rPr>
          <w:rStyle w:val="13"/>
          <w:rFonts w:hint="eastAsia" w:ascii="仿宋" w:hAnsi="仿宋" w:eastAsia="仿宋"/>
          <w:bCs/>
          <w:color w:val="000000"/>
          <w:sz w:val="32"/>
          <w:szCs w:val="32"/>
          <w:highlight w:val="none"/>
        </w:rPr>
        <w:t>政协事务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000000"/>
          <w:sz w:val="32"/>
          <w:szCs w:val="32"/>
          <w:highlight w:val="none"/>
        </w:rPr>
        <w:t>其他政协事务支出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Style w:val="13"/>
          <w:rFonts w:hint="eastAsia" w:ascii="仿宋" w:hAnsi="仿宋" w:eastAsia="仿宋"/>
          <w:bCs/>
          <w:color w:val="auto"/>
          <w:sz w:val="32"/>
          <w:szCs w:val="32"/>
          <w:highlight w:val="none"/>
          <w:lang w:val="en-US" w:eastAsia="zh-CN"/>
        </w:rPr>
        <w:t>3.</w:t>
      </w:r>
      <w:r>
        <w:rPr>
          <w:rStyle w:val="13"/>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highlight w:val="none"/>
        </w:rPr>
        <w:t>政府办公厅（室）及相关机构事务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行政运行</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435.26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事业运行</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17.95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Style w:val="13"/>
          <w:rFonts w:hint="eastAsia" w:ascii="仿宋" w:hAnsi="仿宋" w:eastAsia="仿宋"/>
          <w:bCs/>
          <w:color w:val="auto"/>
          <w:sz w:val="32"/>
          <w:szCs w:val="32"/>
          <w:highlight w:val="none"/>
          <w:lang w:val="en-US" w:eastAsia="zh-CN"/>
        </w:rPr>
        <w:t>4.</w:t>
      </w:r>
      <w:r>
        <w:rPr>
          <w:rStyle w:val="13"/>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rPr>
        <w:t>财政事务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信息化建设</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3.63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事业运行</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20.73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lang w:eastAsia="zh-CN"/>
        </w:rPr>
        <w:t>其他财政事务支出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5.06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w:t>
      </w:r>
    </w:p>
    <w:p>
      <w:pPr>
        <w:numPr>
          <w:ilvl w:val="0"/>
          <w:numId w:val="0"/>
        </w:numPr>
        <w:spacing w:line="600" w:lineRule="exact"/>
        <w:ind w:firstLine="321" w:firstLineChars="100"/>
        <w:rPr>
          <w:rFonts w:ascii="仿宋" w:hAnsi="仿宋" w:eastAsia="仿宋"/>
          <w:b/>
          <w:color w:val="000000"/>
          <w:sz w:val="32"/>
          <w:szCs w:val="32"/>
        </w:rPr>
      </w:pPr>
      <w:r>
        <w:rPr>
          <w:rStyle w:val="13"/>
          <w:rFonts w:hint="eastAsia" w:ascii="仿宋" w:hAnsi="仿宋" w:eastAsia="仿宋"/>
          <w:bCs/>
          <w:color w:val="auto"/>
          <w:sz w:val="32"/>
          <w:szCs w:val="32"/>
          <w:highlight w:val="none"/>
          <w:lang w:val="en-US" w:eastAsia="zh-CN"/>
        </w:rPr>
        <w:t>5.</w:t>
      </w:r>
      <w:r>
        <w:rPr>
          <w:rStyle w:val="13"/>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rPr>
        <w:t>群众团体事务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其他群众团体事务支出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Style w:val="13"/>
          <w:rFonts w:hint="eastAsia" w:ascii="仿宋" w:hAnsi="仿宋" w:eastAsia="仿宋"/>
          <w:bCs/>
          <w:color w:val="auto"/>
          <w:sz w:val="32"/>
          <w:szCs w:val="32"/>
          <w:highlight w:val="none"/>
          <w:lang w:val="en-US" w:eastAsia="zh-CN"/>
        </w:rPr>
        <w:t>6.</w:t>
      </w:r>
      <w:r>
        <w:rPr>
          <w:rStyle w:val="13"/>
          <w:rFonts w:hint="eastAsia" w:ascii="仿宋" w:hAnsi="仿宋" w:eastAsia="仿宋"/>
          <w:bCs/>
          <w:color w:val="auto"/>
          <w:sz w:val="32"/>
          <w:szCs w:val="32"/>
          <w:highlight w:val="none"/>
        </w:rPr>
        <w:t>一般公共服务支出（类）</w:t>
      </w:r>
      <w:r>
        <w:rPr>
          <w:rFonts w:hint="eastAsia" w:ascii="仿宋" w:hAnsi="仿宋" w:eastAsia="仿宋"/>
          <w:b/>
          <w:color w:val="000000"/>
          <w:sz w:val="32"/>
          <w:szCs w:val="32"/>
          <w:lang w:eastAsia="zh-CN"/>
        </w:rPr>
        <w:t>市场监督管理</w:t>
      </w:r>
      <w:r>
        <w:rPr>
          <w:rFonts w:hint="eastAsia" w:ascii="仿宋" w:hAnsi="仿宋" w:eastAsia="仿宋"/>
          <w:b/>
          <w:color w:val="000000"/>
          <w:sz w:val="32"/>
          <w:szCs w:val="32"/>
        </w:rPr>
        <w:t>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事业运行</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14.61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7.</w:t>
      </w:r>
      <w:r>
        <w:rPr>
          <w:rFonts w:hint="eastAsia" w:ascii="仿宋" w:hAnsi="仿宋" w:eastAsia="仿宋"/>
          <w:b/>
          <w:color w:val="000000"/>
          <w:sz w:val="32"/>
          <w:szCs w:val="32"/>
        </w:rPr>
        <w:t>国防支出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国防动员</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民兵</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8.</w:t>
      </w:r>
      <w:r>
        <w:rPr>
          <w:rFonts w:hint="eastAsia" w:ascii="仿宋" w:hAnsi="仿宋" w:eastAsia="仿宋"/>
          <w:b/>
          <w:color w:val="000000"/>
          <w:sz w:val="32"/>
          <w:szCs w:val="32"/>
        </w:rPr>
        <w:t>公共安全支出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司法</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其他司法支出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公共安全支出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其他公共安全支出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其他公共安全支出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24.48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10.</w:t>
      </w:r>
      <w:r>
        <w:rPr>
          <w:rFonts w:hint="eastAsia" w:ascii="仿宋" w:hAnsi="仿宋" w:eastAsia="仿宋"/>
          <w:b/>
          <w:color w:val="000000"/>
          <w:sz w:val="32"/>
          <w:szCs w:val="32"/>
        </w:rPr>
        <w:t>教育支出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普通教育</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)其他教育管理事务支出（项）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76.44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11.</w:t>
      </w:r>
      <w:r>
        <w:rPr>
          <w:rFonts w:hint="eastAsia" w:ascii="仿宋" w:hAnsi="仿宋" w:eastAsia="仿宋"/>
          <w:b/>
          <w:color w:val="000000"/>
          <w:sz w:val="32"/>
          <w:szCs w:val="32"/>
        </w:rPr>
        <w:t>教育支出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普通教育</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)1学前教育（项）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258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小学教育</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1642.62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初中教育</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827.64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4</w:t>
      </w:r>
      <w:r>
        <w:rPr>
          <w:rFonts w:hint="eastAsia" w:ascii="仿宋" w:hAnsi="仿宋" w:eastAsia="仿宋"/>
          <w:b/>
          <w:color w:val="000000"/>
          <w:sz w:val="32"/>
          <w:szCs w:val="32"/>
        </w:rPr>
        <w:t>高中教育</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961.61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5其他普通教育支出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cs="Times New Roman"/>
          <w:b w:val="0"/>
          <w:bCs/>
          <w:color w:val="auto"/>
          <w:sz w:val="32"/>
          <w:szCs w:val="32"/>
          <w:highlight w:val="none"/>
        </w:rPr>
        <w:t>支出决算为109.46万元，完成预算100%</w:t>
      </w:r>
      <w:r>
        <w:rPr>
          <w:rStyle w:val="13"/>
          <w:rFonts w:hint="eastAsia" w:ascii="仿宋" w:hAnsi="仿宋" w:eastAsia="仿宋" w:cs="Times New Roman"/>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12.</w:t>
      </w:r>
      <w:r>
        <w:rPr>
          <w:rFonts w:hint="eastAsia" w:ascii="仿宋" w:hAnsi="仿宋" w:eastAsia="仿宋"/>
          <w:b/>
          <w:color w:val="000000"/>
          <w:sz w:val="32"/>
          <w:szCs w:val="32"/>
        </w:rPr>
        <w:t>文化体育与传媒支出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文化</w:t>
      </w:r>
      <w:r>
        <w:rPr>
          <w:rFonts w:hint="eastAsia" w:ascii="仿宋" w:hAnsi="仿宋" w:eastAsia="仿宋"/>
          <w:b/>
          <w:color w:val="000000"/>
          <w:sz w:val="32"/>
          <w:szCs w:val="32"/>
          <w:lang w:eastAsia="zh-CN"/>
        </w:rPr>
        <w:t>和旅游</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其他文化</w:t>
      </w:r>
      <w:r>
        <w:rPr>
          <w:rFonts w:hint="eastAsia" w:ascii="仿宋" w:hAnsi="仿宋" w:eastAsia="仿宋"/>
          <w:b/>
          <w:color w:val="000000"/>
          <w:sz w:val="32"/>
          <w:szCs w:val="32"/>
          <w:lang w:eastAsia="zh-CN"/>
        </w:rPr>
        <w:t>和旅游</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40.24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13.</w:t>
      </w:r>
      <w:r>
        <w:rPr>
          <w:rFonts w:hint="eastAsia" w:ascii="仿宋" w:hAnsi="仿宋" w:eastAsia="仿宋"/>
          <w:b/>
          <w:color w:val="000000"/>
          <w:sz w:val="32"/>
          <w:szCs w:val="32"/>
        </w:rPr>
        <w:t>文化体育与传媒支出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广播电视</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w:t>
      </w:r>
      <w:r>
        <w:rPr>
          <w:rFonts w:hint="eastAsia" w:ascii="仿宋" w:hAnsi="仿宋" w:eastAsia="仿宋"/>
          <w:b/>
          <w:color w:val="000000"/>
          <w:sz w:val="32"/>
          <w:szCs w:val="32"/>
          <w:lang w:eastAsia="zh-CN"/>
        </w:rPr>
        <w:t>广播电视</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12.09</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14.</w:t>
      </w:r>
      <w:r>
        <w:rPr>
          <w:rFonts w:hint="eastAsia" w:ascii="仿宋" w:hAnsi="仿宋" w:eastAsia="仿宋"/>
          <w:b/>
          <w:color w:val="000000"/>
          <w:sz w:val="32"/>
          <w:szCs w:val="32"/>
        </w:rPr>
        <w:t>文化体育与传媒支出</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eastAsia="zh-CN"/>
        </w:rPr>
        <w:t>其他</w:t>
      </w:r>
      <w:r>
        <w:rPr>
          <w:rFonts w:hint="eastAsia" w:ascii="仿宋" w:hAnsi="仿宋" w:eastAsia="仿宋"/>
          <w:b/>
          <w:color w:val="000000"/>
          <w:sz w:val="32"/>
          <w:szCs w:val="32"/>
        </w:rPr>
        <w:t>文化</w:t>
      </w:r>
      <w:r>
        <w:rPr>
          <w:rFonts w:hint="eastAsia" w:ascii="仿宋" w:hAnsi="仿宋" w:eastAsia="仿宋"/>
          <w:b/>
          <w:color w:val="000000"/>
          <w:sz w:val="32"/>
          <w:szCs w:val="32"/>
          <w:lang w:eastAsia="zh-CN"/>
        </w:rPr>
        <w:t>体育与传媒支出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Style w:val="13"/>
          <w:rFonts w:hint="eastAsia" w:ascii="仿宋" w:hAnsi="仿宋" w:eastAsia="仿宋"/>
          <w:bCs/>
          <w:color w:val="auto"/>
          <w:sz w:val="32"/>
          <w:szCs w:val="32"/>
          <w:highlight w:val="none"/>
          <w:lang w:eastAsia="zh-CN"/>
        </w:rPr>
        <w:t>其他</w:t>
      </w:r>
      <w:r>
        <w:rPr>
          <w:rFonts w:hint="eastAsia" w:ascii="仿宋" w:hAnsi="仿宋" w:eastAsia="仿宋"/>
          <w:b/>
          <w:color w:val="000000"/>
          <w:sz w:val="32"/>
          <w:szCs w:val="32"/>
        </w:rPr>
        <w:t>文化</w:t>
      </w:r>
      <w:r>
        <w:rPr>
          <w:rFonts w:hint="eastAsia" w:ascii="仿宋" w:hAnsi="仿宋" w:eastAsia="仿宋"/>
          <w:b/>
          <w:color w:val="000000"/>
          <w:sz w:val="32"/>
          <w:szCs w:val="32"/>
          <w:lang w:eastAsia="zh-CN"/>
        </w:rPr>
        <w:t>体育与传媒支出（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18.21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15.</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人力资源和社会保障管理事务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社会保险经办机构</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22.27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16.</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行政事业单位离退休</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1事业单位离退休（项）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4.22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2</w:t>
      </w:r>
      <w:r>
        <w:rPr>
          <w:rFonts w:hint="eastAsia" w:ascii="仿宋" w:hAnsi="仿宋" w:eastAsia="仿宋"/>
          <w:b/>
          <w:color w:val="000000"/>
          <w:sz w:val="32"/>
          <w:szCs w:val="32"/>
        </w:rPr>
        <w:t>机关事业单位基本养老保险缴费支出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470.14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机关事业单位职业年金缴费支出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39.66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17.</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抚恤</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义务兵优待</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33.68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18.</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最低生活保障</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城市最低生活保障金支出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4.76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农村最低生活保障金支出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1.32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leftChars="200"/>
        <w:rPr>
          <w:rStyle w:val="13"/>
          <w:rFonts w:hint="eastAsia" w:ascii="仿宋" w:hAnsi="仿宋" w:eastAsia="仿宋"/>
          <w:bCs/>
          <w:color w:val="auto"/>
          <w:sz w:val="32"/>
          <w:szCs w:val="32"/>
          <w:highlight w:val="none"/>
        </w:rPr>
      </w:pPr>
      <w:r>
        <w:rPr>
          <w:rFonts w:hint="eastAsia" w:ascii="仿宋" w:hAnsi="仿宋" w:eastAsia="仿宋"/>
          <w:b/>
          <w:color w:val="000000"/>
          <w:sz w:val="32"/>
          <w:szCs w:val="32"/>
          <w:lang w:val="en-US" w:eastAsia="zh-CN"/>
        </w:rPr>
        <w:t>19.</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（类）特困人员救助供养（款</w:t>
      </w:r>
      <w:r>
        <w:rPr>
          <w:rStyle w:val="13"/>
          <w:rFonts w:hint="eastAsia" w:ascii="仿宋" w:hAnsi="仿宋" w:eastAsia="仿宋"/>
          <w:bCs/>
          <w:color w:val="auto"/>
          <w:sz w:val="32"/>
          <w:szCs w:val="32"/>
          <w:highlight w:val="none"/>
          <w:lang w:val="en-US" w:eastAsia="zh-CN"/>
        </w:rPr>
        <w:t>)</w:t>
      </w:r>
    </w:p>
    <w:p>
      <w:pPr>
        <w:numPr>
          <w:ilvl w:val="0"/>
          <w:numId w:val="0"/>
        </w:numPr>
        <w:spacing w:line="600" w:lineRule="exact"/>
        <w:rPr>
          <w:rFonts w:ascii="仿宋" w:hAnsi="仿宋" w:eastAsia="仿宋"/>
          <w:b/>
          <w:color w:val="000000"/>
          <w:sz w:val="32"/>
          <w:szCs w:val="32"/>
        </w:rPr>
      </w:pPr>
      <w:r>
        <w:rPr>
          <w:rStyle w:val="13"/>
          <w:rFonts w:hint="eastAsia" w:ascii="仿宋" w:hAnsi="仿宋" w:eastAsia="仿宋"/>
          <w:bCs/>
          <w:color w:val="auto"/>
          <w:sz w:val="32"/>
          <w:szCs w:val="32"/>
          <w:highlight w:val="none"/>
        </w:rPr>
        <w:t>农村特困人员救助供养支出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社会保障和就业支出</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eastAsia="zh-CN"/>
        </w:rPr>
        <w:t>财政对</w:t>
      </w:r>
      <w:r>
        <w:rPr>
          <w:rFonts w:hint="eastAsia" w:ascii="仿宋" w:hAnsi="仿宋" w:eastAsia="仿宋"/>
          <w:b/>
          <w:color w:val="000000"/>
          <w:sz w:val="32"/>
          <w:szCs w:val="32"/>
        </w:rPr>
        <w:t>其他社会保</w:t>
      </w:r>
      <w:r>
        <w:rPr>
          <w:rFonts w:hint="eastAsia" w:ascii="仿宋" w:hAnsi="仿宋" w:eastAsia="仿宋"/>
          <w:b/>
          <w:color w:val="000000"/>
          <w:sz w:val="32"/>
          <w:szCs w:val="32"/>
          <w:lang w:eastAsia="zh-CN"/>
        </w:rPr>
        <w:t>险基金的补助</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)1财政对失业保险基金的补助</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4.47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Cs/>
          <w:color w:val="auto"/>
          <w:sz w:val="32"/>
          <w:szCs w:val="32"/>
          <w:highlight w:val="none"/>
          <w:lang w:val="en-US" w:eastAsia="zh-CN"/>
        </w:rPr>
        <w:t>2财政对工伤保险基金的补助</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38.18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Cs/>
          <w:color w:val="auto"/>
          <w:sz w:val="32"/>
          <w:szCs w:val="32"/>
          <w:highlight w:val="none"/>
          <w:lang w:val="en-US" w:eastAsia="zh-CN"/>
        </w:rPr>
        <w:t>3财政对生育保险基金的补助</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1.26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21.</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基层医疗卫生机构</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乡镇卫生院</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828.44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其他基层医疗卫生机构支出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40.58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leftChars="2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22.</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类）公共卫生（款</w:t>
      </w:r>
      <w:r>
        <w:rPr>
          <w:rStyle w:val="13"/>
          <w:rFonts w:hint="eastAsia" w:ascii="仿宋" w:hAnsi="仿宋" w:eastAsia="仿宋"/>
          <w:bCs/>
          <w:color w:val="auto"/>
          <w:sz w:val="32"/>
          <w:szCs w:val="32"/>
          <w:highlight w:val="none"/>
          <w:lang w:val="en-US" w:eastAsia="zh-CN"/>
        </w:rPr>
        <w:t>)</w:t>
      </w:r>
      <w:r>
        <w:rPr>
          <w:rStyle w:val="13"/>
          <w:rFonts w:hint="eastAsia" w:ascii="仿宋" w:hAnsi="仿宋" w:eastAsia="仿宋"/>
          <w:bCs/>
          <w:color w:val="auto"/>
          <w:sz w:val="32"/>
          <w:szCs w:val="32"/>
          <w:highlight w:val="none"/>
        </w:rPr>
        <w:t>基本公共卫生服务</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149.44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23.</w:t>
      </w:r>
      <w:r>
        <w:rPr>
          <w:rFonts w:hint="eastAsia" w:ascii="仿宋" w:hAnsi="仿宋" w:eastAsia="仿宋"/>
          <w:b/>
          <w:color w:val="000000"/>
          <w:sz w:val="32"/>
          <w:szCs w:val="32"/>
        </w:rPr>
        <w:t>卫生</w:t>
      </w:r>
      <w:r>
        <w:rPr>
          <w:rFonts w:hint="eastAsia" w:ascii="仿宋" w:hAnsi="仿宋" w:eastAsia="仿宋"/>
          <w:b/>
          <w:color w:val="000000"/>
          <w:sz w:val="32"/>
          <w:szCs w:val="32"/>
          <w:lang w:eastAsia="zh-CN"/>
        </w:rPr>
        <w:t>健康</w:t>
      </w:r>
      <w:r>
        <w:rPr>
          <w:rFonts w:hint="eastAsia" w:ascii="仿宋" w:hAnsi="仿宋" w:eastAsia="仿宋"/>
          <w:b/>
          <w:color w:val="000000"/>
          <w:sz w:val="32"/>
          <w:szCs w:val="32"/>
        </w:rPr>
        <w:t>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eastAsia="zh-CN"/>
        </w:rPr>
        <w:t>行政事业单位</w:t>
      </w:r>
      <w:r>
        <w:rPr>
          <w:rStyle w:val="13"/>
          <w:rFonts w:hint="eastAsia" w:ascii="仿宋" w:hAnsi="仿宋" w:eastAsia="仿宋"/>
          <w:bCs/>
          <w:color w:val="auto"/>
          <w:sz w:val="32"/>
          <w:szCs w:val="32"/>
          <w:highlight w:val="none"/>
          <w:lang w:val="en-US" w:eastAsia="zh-CN"/>
        </w:rPr>
        <w:t xml:space="preserve"> 医疗</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)1行政单位医疗</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23.54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2</w:t>
      </w:r>
      <w:r>
        <w:rPr>
          <w:rStyle w:val="13"/>
          <w:rFonts w:hint="eastAsia" w:ascii="仿宋" w:hAnsi="仿宋" w:eastAsia="仿宋"/>
          <w:bCs/>
          <w:color w:val="auto"/>
          <w:sz w:val="32"/>
          <w:szCs w:val="32"/>
          <w:highlight w:val="none"/>
          <w:lang w:val="en-US" w:eastAsia="zh-CN"/>
        </w:rPr>
        <w:t>事业单位医疗</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220.05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Cs/>
          <w:color w:val="auto"/>
          <w:sz w:val="32"/>
          <w:szCs w:val="32"/>
          <w:highlight w:val="none"/>
          <w:lang w:val="en-US" w:eastAsia="zh-CN"/>
        </w:rPr>
        <w:t>公务员医疗补充</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3.60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24.</w:t>
      </w:r>
      <w:r>
        <w:rPr>
          <w:rFonts w:hint="eastAsia" w:ascii="仿宋" w:hAnsi="仿宋" w:eastAsia="仿宋"/>
          <w:b/>
          <w:color w:val="000000"/>
          <w:sz w:val="32"/>
          <w:szCs w:val="32"/>
        </w:rPr>
        <w:t>节能环保支出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自然生态保护</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农村环境保护</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25.</w:t>
      </w:r>
      <w:r>
        <w:rPr>
          <w:rFonts w:hint="eastAsia" w:ascii="仿宋" w:hAnsi="仿宋" w:eastAsia="仿宋"/>
          <w:b/>
          <w:color w:val="000000"/>
          <w:sz w:val="32"/>
          <w:szCs w:val="32"/>
        </w:rPr>
        <w:t>节能环保支出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退耕还林</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退耕现金</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3.68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26.</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城乡社区环境卫生</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城乡社区环境卫生</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27.</w:t>
      </w:r>
      <w:r>
        <w:rPr>
          <w:rFonts w:hint="eastAsia" w:ascii="仿宋" w:hAnsi="仿宋" w:eastAsia="仿宋"/>
          <w:b/>
          <w:color w:val="000000"/>
          <w:sz w:val="32"/>
          <w:szCs w:val="32"/>
        </w:rPr>
        <w:t>城乡社区支出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其他城乡社区支出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其他城乡社区支出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支出决算为50.89万元，完成预算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28.</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农业</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事业运行</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77.33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农村道路建设</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80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rPr>
        <w:t xml:space="preserve"> </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lang w:eastAsia="zh-CN"/>
        </w:rPr>
        <w:t>其他农业支出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593.93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29.</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林业</w:t>
      </w:r>
      <w:r>
        <w:rPr>
          <w:rFonts w:hint="eastAsia" w:ascii="仿宋" w:hAnsi="仿宋" w:eastAsia="仿宋"/>
          <w:b/>
          <w:color w:val="000000"/>
          <w:sz w:val="32"/>
          <w:szCs w:val="32"/>
          <w:lang w:eastAsia="zh-CN"/>
        </w:rPr>
        <w:t>和草原</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林业事业机构</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30.01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Cs/>
          <w:color w:val="auto"/>
          <w:sz w:val="32"/>
          <w:szCs w:val="32"/>
          <w:highlight w:val="none"/>
          <w:lang w:val="en-US" w:eastAsia="zh-CN"/>
        </w:rPr>
        <w:t>2森</w:t>
      </w:r>
      <w:r>
        <w:rPr>
          <w:rFonts w:hint="eastAsia" w:ascii="仿宋" w:hAnsi="仿宋" w:eastAsia="仿宋"/>
          <w:b/>
          <w:color w:val="000000"/>
          <w:sz w:val="32"/>
          <w:szCs w:val="32"/>
        </w:rPr>
        <w:t>林</w:t>
      </w:r>
      <w:r>
        <w:rPr>
          <w:rFonts w:hint="eastAsia" w:ascii="仿宋" w:hAnsi="仿宋" w:eastAsia="仿宋"/>
          <w:b/>
          <w:color w:val="000000"/>
          <w:sz w:val="32"/>
          <w:szCs w:val="32"/>
          <w:lang w:eastAsia="zh-CN"/>
        </w:rPr>
        <w:t>生态效益补偿</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22.44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30.</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水利</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)1农村人畜饮水</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80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Cs/>
          <w:color w:val="auto"/>
          <w:sz w:val="32"/>
          <w:szCs w:val="32"/>
          <w:highlight w:val="none"/>
          <w:lang w:val="en-US" w:eastAsia="zh-CN"/>
        </w:rPr>
        <w:t>；2</w:t>
      </w:r>
      <w:r>
        <w:rPr>
          <w:rFonts w:hint="eastAsia" w:ascii="仿宋" w:hAnsi="仿宋" w:eastAsia="仿宋"/>
          <w:b/>
          <w:color w:val="000000"/>
          <w:sz w:val="32"/>
          <w:szCs w:val="32"/>
          <w:lang w:eastAsia="zh-CN"/>
        </w:rPr>
        <w:t>其他水利支出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107.29</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31.</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扶贫</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其他扶贫支出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235.47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32.</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rPr>
        <w:t>农村综合改革</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1对村级一事一议补助（项）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4.44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2</w:t>
      </w:r>
      <w:r>
        <w:rPr>
          <w:rFonts w:hint="eastAsia" w:ascii="仿宋" w:hAnsi="仿宋" w:eastAsia="仿宋"/>
          <w:b/>
          <w:color w:val="000000"/>
          <w:sz w:val="32"/>
          <w:szCs w:val="32"/>
        </w:rPr>
        <w:t>对村民委员会和村党支部的补助</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297.83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农村综合改革示范试点补助</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70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33.</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普惠金融发展支出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农业保险保费补贴</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26.41</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34.</w:t>
      </w:r>
      <w:r>
        <w:rPr>
          <w:rFonts w:hint="eastAsia" w:ascii="仿宋" w:hAnsi="仿宋" w:eastAsia="仿宋"/>
          <w:b/>
          <w:color w:val="000000"/>
          <w:sz w:val="32"/>
          <w:szCs w:val="32"/>
        </w:rPr>
        <w:t>农林水支出</w:t>
      </w:r>
      <w:r>
        <w:rPr>
          <w:rFonts w:hint="eastAsia" w:ascii="仿宋" w:hAnsi="仿宋" w:eastAsia="仿宋"/>
          <w:b/>
          <w:color w:val="000000"/>
          <w:sz w:val="32"/>
          <w:szCs w:val="32"/>
          <w:lang w:eastAsia="zh-CN"/>
        </w:rPr>
        <w:t>（</w:t>
      </w:r>
      <w:r>
        <w:rPr>
          <w:rStyle w:val="13"/>
          <w:rFonts w:hint="eastAsia" w:ascii="仿宋" w:hAnsi="仿宋" w:eastAsia="仿宋"/>
          <w:bCs/>
          <w:color w:val="auto"/>
          <w:sz w:val="32"/>
          <w:szCs w:val="32"/>
          <w:highlight w:val="none"/>
        </w:rPr>
        <w:t>类）</w:t>
      </w:r>
      <w:r>
        <w:rPr>
          <w:rFonts w:hint="eastAsia" w:ascii="仿宋" w:hAnsi="仿宋" w:eastAsia="仿宋"/>
          <w:b/>
          <w:color w:val="000000"/>
          <w:sz w:val="32"/>
          <w:szCs w:val="32"/>
          <w:lang w:eastAsia="zh-CN"/>
        </w:rPr>
        <w:t>目标价格补贴</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val="en-US" w:eastAsia="zh-CN"/>
        </w:rPr>
        <w:t>其他目标价格补贴</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56.20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ascii="仿宋" w:hAnsi="仿宋" w:eastAsia="仿宋"/>
          <w:b/>
          <w:color w:val="000000"/>
          <w:sz w:val="32"/>
          <w:szCs w:val="32"/>
        </w:rPr>
      </w:pPr>
      <w:r>
        <w:rPr>
          <w:rFonts w:hint="eastAsia" w:ascii="仿宋" w:hAnsi="仿宋" w:eastAsia="仿宋"/>
          <w:b/>
          <w:color w:val="000000"/>
          <w:sz w:val="32"/>
          <w:szCs w:val="32"/>
          <w:lang w:val="en-US" w:eastAsia="zh-CN"/>
        </w:rPr>
        <w:t>35.</w:t>
      </w:r>
      <w:r>
        <w:rPr>
          <w:rFonts w:hint="eastAsia" w:ascii="仿宋" w:hAnsi="仿宋" w:eastAsia="仿宋"/>
          <w:b/>
          <w:color w:val="000000"/>
          <w:sz w:val="32"/>
          <w:szCs w:val="32"/>
        </w:rPr>
        <w:t>交通运输支出</w:t>
      </w:r>
      <w:r>
        <w:rPr>
          <w:rStyle w:val="13"/>
          <w:rFonts w:hint="eastAsia" w:ascii="仿宋" w:hAnsi="仿宋" w:eastAsia="仿宋"/>
          <w:bCs/>
          <w:color w:val="000000"/>
          <w:sz w:val="32"/>
          <w:szCs w:val="32"/>
        </w:rPr>
        <w:t>（类）</w:t>
      </w:r>
      <w:r>
        <w:rPr>
          <w:rFonts w:hint="eastAsia" w:ascii="仿宋" w:hAnsi="仿宋" w:eastAsia="仿宋"/>
          <w:b/>
          <w:color w:val="000000"/>
          <w:sz w:val="32"/>
          <w:szCs w:val="32"/>
        </w:rPr>
        <w:t>其他交通运输支出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rPr>
        <w:t>其他交通运输支出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14.84</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Fonts w:hint="eastAsia" w:ascii="仿宋" w:hAnsi="仿宋" w:eastAsia="仿宋"/>
          <w:b/>
          <w:color w:val="000000"/>
          <w:sz w:val="32"/>
          <w:szCs w:val="32"/>
          <w:lang w:eastAsia="zh-CN"/>
        </w:rPr>
      </w:pPr>
      <w:r>
        <w:rPr>
          <w:rFonts w:hint="eastAsia" w:ascii="仿宋" w:hAnsi="仿宋" w:eastAsia="仿宋"/>
          <w:b/>
          <w:color w:val="000000"/>
          <w:sz w:val="32"/>
          <w:szCs w:val="32"/>
          <w:lang w:val="en-US" w:eastAsia="zh-CN"/>
        </w:rPr>
        <w:t>36.</w:t>
      </w:r>
      <w:r>
        <w:rPr>
          <w:rFonts w:hint="eastAsia" w:ascii="仿宋" w:hAnsi="仿宋" w:eastAsia="仿宋"/>
          <w:b/>
          <w:color w:val="000000"/>
          <w:sz w:val="32"/>
          <w:szCs w:val="32"/>
        </w:rPr>
        <w:t>住房保障支出</w:t>
      </w:r>
      <w:r>
        <w:rPr>
          <w:rStyle w:val="13"/>
          <w:rFonts w:hint="eastAsia" w:ascii="仿宋" w:hAnsi="仿宋" w:eastAsia="仿宋"/>
          <w:bCs/>
          <w:color w:val="000000"/>
          <w:sz w:val="32"/>
          <w:szCs w:val="32"/>
        </w:rPr>
        <w:t>（类）</w:t>
      </w:r>
      <w:r>
        <w:rPr>
          <w:rFonts w:hint="eastAsia" w:ascii="仿宋" w:hAnsi="仿宋" w:eastAsia="仿宋"/>
          <w:b/>
          <w:color w:val="000000"/>
          <w:sz w:val="32"/>
          <w:szCs w:val="32"/>
        </w:rPr>
        <w:t>保障性安居工程支出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)1</w:t>
      </w:r>
      <w:r>
        <w:rPr>
          <w:rFonts w:hint="eastAsia" w:ascii="仿宋" w:hAnsi="仿宋" w:eastAsia="仿宋"/>
          <w:b/>
          <w:color w:val="000000"/>
          <w:sz w:val="32"/>
          <w:szCs w:val="32"/>
        </w:rPr>
        <w:t>农村危房改造</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468.20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Fonts w:hint="eastAsia" w:ascii="仿宋" w:hAnsi="仿宋" w:eastAsia="仿宋" w:cs="Times New Roman"/>
          <w:b/>
          <w:color w:val="000000"/>
          <w:sz w:val="32"/>
          <w:szCs w:val="32"/>
          <w:lang w:eastAsia="zh-CN"/>
        </w:rPr>
        <w:t>2其他保障性安居工程支出（项）:</w:t>
      </w:r>
      <w:r>
        <w:rPr>
          <w:rStyle w:val="13"/>
          <w:rFonts w:hint="eastAsia" w:ascii="仿宋" w:hAnsi="仿宋" w:eastAsia="仿宋"/>
          <w:b w:val="0"/>
          <w:bCs/>
          <w:color w:val="auto"/>
          <w:sz w:val="32"/>
          <w:szCs w:val="32"/>
          <w:highlight w:val="none"/>
          <w:lang w:eastAsia="zh-CN"/>
        </w:rPr>
        <w:t>支出决算为300万元，完成预算100%；</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37.</w:t>
      </w:r>
      <w:r>
        <w:rPr>
          <w:rFonts w:hint="eastAsia" w:ascii="仿宋" w:hAnsi="仿宋" w:eastAsia="仿宋"/>
          <w:b/>
          <w:color w:val="000000"/>
          <w:sz w:val="32"/>
          <w:szCs w:val="32"/>
          <w:lang w:eastAsia="zh-CN"/>
        </w:rPr>
        <w:t>灾害防治及应急管理</w:t>
      </w:r>
      <w:r>
        <w:rPr>
          <w:rFonts w:hint="eastAsia" w:ascii="仿宋" w:hAnsi="仿宋" w:eastAsia="仿宋"/>
          <w:b/>
          <w:color w:val="000000"/>
          <w:sz w:val="32"/>
          <w:szCs w:val="32"/>
        </w:rPr>
        <w:t>支出</w:t>
      </w:r>
      <w:r>
        <w:rPr>
          <w:rStyle w:val="13"/>
          <w:rFonts w:hint="eastAsia" w:ascii="仿宋" w:hAnsi="仿宋" w:eastAsia="仿宋"/>
          <w:bCs/>
          <w:color w:val="000000"/>
          <w:sz w:val="32"/>
          <w:szCs w:val="32"/>
        </w:rPr>
        <w:t>（类）</w:t>
      </w:r>
      <w:r>
        <w:rPr>
          <w:rFonts w:hint="eastAsia" w:ascii="仿宋" w:hAnsi="仿宋" w:eastAsia="仿宋"/>
          <w:b/>
          <w:color w:val="000000"/>
          <w:sz w:val="32"/>
          <w:szCs w:val="32"/>
          <w:lang w:eastAsia="zh-CN"/>
        </w:rPr>
        <w:t>应急管理</w:t>
      </w:r>
      <w:r>
        <w:rPr>
          <w:rFonts w:hint="eastAsia" w:ascii="仿宋" w:hAnsi="仿宋" w:eastAsia="仿宋"/>
          <w:b/>
          <w:color w:val="000000"/>
          <w:sz w:val="32"/>
          <w:szCs w:val="32"/>
        </w:rPr>
        <w:t>事务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安全监管</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eastAsia" w:ascii="仿宋" w:hAnsi="仿宋" w:eastAsia="仿宋"/>
          <w:b w:val="0"/>
          <w:bCs/>
          <w:color w:val="auto"/>
          <w:sz w:val="32"/>
          <w:szCs w:val="32"/>
          <w:highlight w:val="none"/>
          <w:lang w:eastAsia="zh-CN"/>
        </w:rPr>
      </w:pPr>
      <w:r>
        <w:rPr>
          <w:rFonts w:hint="eastAsia" w:ascii="仿宋" w:hAnsi="仿宋" w:eastAsia="仿宋"/>
          <w:b/>
          <w:color w:val="000000"/>
          <w:sz w:val="32"/>
          <w:szCs w:val="32"/>
          <w:lang w:val="en-US" w:eastAsia="zh-CN"/>
        </w:rPr>
        <w:t>38.</w:t>
      </w:r>
      <w:r>
        <w:rPr>
          <w:rFonts w:hint="eastAsia" w:ascii="仿宋" w:hAnsi="仿宋" w:eastAsia="仿宋"/>
          <w:b/>
          <w:color w:val="000000"/>
          <w:sz w:val="32"/>
          <w:szCs w:val="32"/>
          <w:lang w:eastAsia="zh-CN"/>
        </w:rPr>
        <w:t>灾害防治及应急管理</w:t>
      </w:r>
      <w:r>
        <w:rPr>
          <w:rFonts w:hint="eastAsia" w:ascii="仿宋" w:hAnsi="仿宋" w:eastAsia="仿宋"/>
          <w:b/>
          <w:color w:val="000000"/>
          <w:sz w:val="32"/>
          <w:szCs w:val="32"/>
        </w:rPr>
        <w:t>支出</w:t>
      </w:r>
      <w:r>
        <w:rPr>
          <w:rStyle w:val="13"/>
          <w:rFonts w:hint="eastAsia" w:ascii="仿宋" w:hAnsi="仿宋" w:eastAsia="仿宋"/>
          <w:bCs/>
          <w:color w:val="000000"/>
          <w:sz w:val="32"/>
          <w:szCs w:val="32"/>
        </w:rPr>
        <w:t>（类）</w:t>
      </w:r>
      <w:r>
        <w:rPr>
          <w:rFonts w:hint="eastAsia" w:ascii="仿宋" w:hAnsi="仿宋" w:eastAsia="仿宋"/>
          <w:b/>
          <w:color w:val="000000"/>
          <w:sz w:val="32"/>
          <w:szCs w:val="32"/>
          <w:lang w:eastAsia="zh-CN"/>
        </w:rPr>
        <w:t>自然灾害救灾及恢复重建支出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中央自然灾害生活补助</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p>
    <w:p>
      <w:pPr>
        <w:numPr>
          <w:ilvl w:val="0"/>
          <w:numId w:val="0"/>
        </w:numPr>
        <w:spacing w:line="600" w:lineRule="exact"/>
        <w:ind w:firstLine="321" w:firstLineChars="100"/>
        <w:rPr>
          <w:rStyle w:val="13"/>
          <w:rFonts w:hint="default" w:ascii="仿宋" w:hAnsi="仿宋" w:eastAsia="仿宋"/>
          <w:b w:val="0"/>
          <w:bCs/>
          <w:color w:val="auto"/>
          <w:sz w:val="32"/>
          <w:szCs w:val="32"/>
          <w:highlight w:val="none"/>
          <w:lang w:val="en-US" w:eastAsia="zh-CN"/>
        </w:rPr>
      </w:pPr>
      <w:r>
        <w:rPr>
          <w:rFonts w:hint="eastAsia" w:ascii="仿宋" w:hAnsi="仿宋" w:eastAsia="仿宋"/>
          <w:b/>
          <w:color w:val="000000"/>
          <w:sz w:val="32"/>
          <w:szCs w:val="32"/>
          <w:lang w:val="en-US" w:eastAsia="zh-CN"/>
        </w:rPr>
        <w:t>39.</w:t>
      </w:r>
      <w:r>
        <w:rPr>
          <w:rFonts w:hint="eastAsia" w:ascii="仿宋" w:hAnsi="仿宋" w:eastAsia="仿宋"/>
          <w:b/>
          <w:color w:val="000000"/>
          <w:sz w:val="32"/>
          <w:szCs w:val="32"/>
          <w:lang w:eastAsia="zh-CN"/>
        </w:rPr>
        <w:t>债务付息支出</w:t>
      </w:r>
      <w:r>
        <w:rPr>
          <w:rStyle w:val="13"/>
          <w:rFonts w:hint="eastAsia" w:ascii="仿宋" w:hAnsi="仿宋" w:eastAsia="仿宋"/>
          <w:bCs/>
          <w:color w:val="000000"/>
          <w:sz w:val="32"/>
          <w:szCs w:val="32"/>
        </w:rPr>
        <w:t>（类）</w:t>
      </w:r>
      <w:r>
        <w:rPr>
          <w:rFonts w:hint="eastAsia" w:ascii="仿宋" w:hAnsi="仿宋" w:eastAsia="仿宋"/>
          <w:b/>
          <w:color w:val="000000"/>
          <w:sz w:val="32"/>
          <w:szCs w:val="32"/>
          <w:lang w:eastAsia="zh-CN"/>
        </w:rPr>
        <w:t>地方政府一般债务付息支出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w:t>
      </w:r>
      <w:r>
        <w:rPr>
          <w:rFonts w:hint="eastAsia" w:ascii="仿宋" w:hAnsi="仿宋" w:eastAsia="仿宋"/>
          <w:b/>
          <w:color w:val="000000"/>
          <w:sz w:val="32"/>
          <w:szCs w:val="32"/>
          <w:lang w:eastAsia="zh-CN"/>
        </w:rPr>
        <w:t xml:space="preserve"> 地方政府一般债券付息支出</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100</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 xml:space="preserve">  </w:t>
      </w:r>
    </w:p>
    <w:bookmarkEnd w:id="34"/>
    <w:bookmarkEnd w:id="35"/>
    <w:p>
      <w:pPr>
        <w:tabs>
          <w:tab w:val="right" w:pos="8306"/>
        </w:tabs>
        <w:spacing w:line="600" w:lineRule="exact"/>
        <w:ind w:firstLine="640"/>
        <w:outlineLvl w:val="1"/>
        <w:rPr>
          <w:rStyle w:val="16"/>
        </w:rPr>
      </w:pPr>
      <w:bookmarkStart w:id="42" w:name="_Toc15396609"/>
      <w:bookmarkStart w:id="43" w:name="_Toc1537721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r>
        <w:rPr>
          <w:rStyle w:val="16"/>
          <w:rFonts w:ascii="黑体" w:hAnsi="黑体" w:eastAsia="黑体"/>
          <w:b w:val="0"/>
        </w:rPr>
        <w:tab/>
      </w:r>
    </w:p>
    <w:bookmarkEnd w:id="42"/>
    <w:bookmarkEnd w:id="43"/>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5371.75</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4845.96</w:t>
      </w:r>
      <w:r>
        <w:rPr>
          <w:rFonts w:hint="eastAsia" w:ascii="仿宋" w:hAnsi="仿宋" w:eastAsia="仿宋"/>
          <w:color w:val="000000"/>
          <w:sz w:val="32"/>
          <w:szCs w:val="32"/>
        </w:rPr>
        <w:t>万</w:t>
      </w:r>
      <w:r>
        <w:rPr>
          <w:rFonts w:hint="eastAsia" w:ascii="仿宋" w:hAnsi="仿宋" w:eastAsia="仿宋" w:cs="Times New Roman"/>
          <w:color w:val="000000"/>
          <w:sz w:val="32"/>
          <w:szCs w:val="32"/>
        </w:rPr>
        <w:t>元</w:t>
      </w:r>
      <w:r>
        <w:rPr>
          <w:rFonts w:hint="eastAsia" w:ascii="仿宋" w:hAnsi="仿宋" w:eastAsia="仿宋" w:cs="Times New Roman"/>
          <w:color w:val="auto"/>
          <w:sz w:val="32"/>
          <w:szCs w:val="32"/>
          <w:highlight w:val="none"/>
        </w:rPr>
        <w:t>，主要包括：</w:t>
      </w:r>
      <w:r>
        <w:rPr>
          <w:rFonts w:hint="eastAsia" w:ascii="仿宋" w:hAnsi="仿宋" w:eastAsia="仿宋"/>
          <w:color w:val="000000"/>
          <w:sz w:val="32"/>
          <w:szCs w:val="32"/>
        </w:rPr>
        <w:t>基本工资、津贴补贴、绩效工资、机关事业单位基本养老保险缴费、职业年金缴费、</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rPr>
        <w:t>其他社会保障缴费、其他工资福利支出、抚恤金、生活补助、</w:t>
      </w:r>
      <w:r>
        <w:rPr>
          <w:rFonts w:hint="eastAsia" w:ascii="仿宋" w:hAnsi="仿宋" w:eastAsia="仿宋"/>
          <w:color w:val="000000"/>
          <w:sz w:val="32"/>
          <w:szCs w:val="32"/>
          <w:lang w:eastAsia="zh-CN"/>
        </w:rPr>
        <w:t>助学</w:t>
      </w:r>
      <w:r>
        <w:rPr>
          <w:rFonts w:hint="eastAsia" w:ascii="仿宋" w:hAnsi="仿宋" w:eastAsia="仿宋"/>
          <w:color w:val="000000"/>
          <w:sz w:val="32"/>
          <w:szCs w:val="32"/>
        </w:rPr>
        <w:t>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525.79</w:t>
      </w:r>
      <w:r>
        <w:rPr>
          <w:rFonts w:hint="eastAsia" w:ascii="仿宋" w:hAnsi="仿宋" w:eastAsia="仿宋"/>
          <w:color w:val="000000"/>
          <w:sz w:val="32"/>
          <w:szCs w:val="32"/>
        </w:rPr>
        <w:t>万元</w:t>
      </w:r>
      <w:r>
        <w:rPr>
          <w:rFonts w:hint="eastAsia" w:ascii="仿宋" w:hAnsi="仿宋" w:eastAsia="仿宋" w:cs="Times New Roman"/>
          <w:color w:val="000000"/>
          <w:sz w:val="32"/>
          <w:szCs w:val="32"/>
        </w:rPr>
        <w:t>，</w:t>
      </w:r>
      <w:r>
        <w:rPr>
          <w:rFonts w:hint="eastAsia" w:ascii="仿宋" w:hAnsi="仿宋" w:eastAsia="仿宋" w:cs="Times New Roman"/>
          <w:color w:val="auto"/>
          <w:sz w:val="32"/>
          <w:szCs w:val="32"/>
          <w:highlight w:val="none"/>
        </w:rPr>
        <w:t>主要包括</w:t>
      </w:r>
      <w:r>
        <w:rPr>
          <w:rFonts w:hint="eastAsia" w:ascii="仿宋" w:hAnsi="仿宋" w:eastAsia="仿宋" w:cs="Times New Roman"/>
          <w:color w:val="000000"/>
          <w:sz w:val="32"/>
          <w:szCs w:val="32"/>
        </w:rPr>
        <w:t>：办</w:t>
      </w:r>
      <w:r>
        <w:rPr>
          <w:rFonts w:hint="eastAsia" w:ascii="仿宋" w:hAnsi="仿宋" w:eastAsia="仿宋"/>
          <w:color w:val="000000"/>
          <w:sz w:val="32"/>
          <w:szCs w:val="32"/>
        </w:rPr>
        <w:t>公费、印刷费、咨询费、水费、电费、邮电费、物业管理费、差旅费、维修（护）费、会议费、培训费、公务接待费、劳务费、工会经费、其他交通费、其他商品和服务支出、办公设备购置、信息网络及软件购置更新、其他资本性支出等。</w:t>
      </w:r>
    </w:p>
    <w:p>
      <w:pPr>
        <w:spacing w:line="600" w:lineRule="exact"/>
        <w:ind w:firstLine="640"/>
        <w:outlineLvl w:val="1"/>
        <w:rPr>
          <w:rStyle w:val="16"/>
          <w:rFonts w:ascii="黑体" w:hAnsi="黑体" w:eastAsia="黑体"/>
          <w:b w:val="0"/>
        </w:rPr>
      </w:pPr>
      <w:r>
        <w:rPr>
          <w:rFonts w:hint="eastAsia" w:ascii="黑体" w:eastAsia="黑体"/>
          <w:color w:val="000000"/>
          <w:sz w:val="32"/>
          <w:szCs w:val="32"/>
          <w:highlight w:val="none"/>
        </w:rPr>
        <w:t>七、</w:t>
      </w:r>
      <w:r>
        <w:rPr>
          <w:rStyle w:val="16"/>
          <w:rFonts w:hint="eastAsia" w:ascii="黑体" w:hAnsi="黑体" w:eastAsia="黑体"/>
        </w:rPr>
        <w:t>“</w:t>
      </w:r>
      <w:r>
        <w:rPr>
          <w:rStyle w:val="16"/>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s="Times New Roman"/>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w:t>
      </w:r>
      <w:r>
        <w:rPr>
          <w:rFonts w:hint="eastAsia" w:ascii="仿宋" w:hAnsi="仿宋" w:eastAsia="仿宋" w:cs="Times New Roman"/>
          <w:color w:val="000000"/>
          <w:sz w:val="32"/>
          <w:szCs w:val="32"/>
          <w:lang w:val="en-US" w:eastAsia="zh-CN"/>
        </w:rPr>
        <w:t>公”经费财政拨款支出决算为2.40万元，完成预算</w:t>
      </w:r>
      <w:r>
        <w:rPr>
          <w:rFonts w:hint="eastAsia" w:ascii="仿宋" w:hAnsi="仿宋" w:eastAsia="仿宋"/>
          <w:color w:val="000000"/>
          <w:sz w:val="32"/>
          <w:szCs w:val="32"/>
          <w:lang w:val="en-US" w:eastAsia="zh-CN"/>
        </w:rPr>
        <w:t>53.45</w:t>
      </w:r>
      <w:r>
        <w:rPr>
          <w:rFonts w:ascii="仿宋" w:hAnsi="仿宋" w:eastAsia="仿宋"/>
          <w:color w:val="000000"/>
          <w:sz w:val="32"/>
          <w:szCs w:val="32"/>
        </w:rPr>
        <w:t>%</w:t>
      </w:r>
      <w:r>
        <w:rPr>
          <w:rFonts w:hint="eastAsia" w:ascii="仿宋" w:hAnsi="仿宋" w:eastAsia="仿宋" w:cs="Times New Roman"/>
          <w:color w:val="000000"/>
          <w:sz w:val="32"/>
          <w:szCs w:val="32"/>
          <w:lang w:val="en-US" w:eastAsia="zh-CN"/>
        </w:rPr>
        <w:t>，主要原因是：严格执行中央八项规定。</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0万元。全年未安排因公出国活动。</w:t>
      </w:r>
    </w:p>
    <w:p>
      <w:pPr>
        <w:spacing w:line="600" w:lineRule="exact"/>
        <w:ind w:firstLine="960" w:firstLineChars="300"/>
        <w:rPr>
          <w:rFonts w:ascii="仿宋_GB2312" w:eastAsia="仿宋_GB2312"/>
          <w:b/>
          <w:color w:val="000000"/>
          <w:sz w:val="32"/>
          <w:szCs w:val="32"/>
        </w:rPr>
      </w:pPr>
      <w:r>
        <w:rPr>
          <w:rFonts w:hint="eastAsia" w:ascii="仿宋_GB2312" w:eastAsia="仿宋_GB2312"/>
          <w:color w:val="000000"/>
          <w:sz w:val="32"/>
          <w:szCs w:val="32"/>
        </w:rPr>
        <w:t>因公出国（境）支出决算与201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年无变化。</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p>
    <w:p>
      <w:pPr>
        <w:spacing w:line="600" w:lineRule="exact"/>
        <w:ind w:firstLine="640"/>
        <w:rPr>
          <w:rFonts w:hint="eastAsia" w:ascii="黑体"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Fonts w:hint="eastAsia" w:ascii="仿宋" w:hAnsi="仿宋" w:eastAsia="仿宋"/>
          <w:color w:val="000000"/>
          <w:sz w:val="32"/>
          <w:szCs w:val="32"/>
          <w:lang w:val="en-US" w:eastAsia="zh-CN"/>
        </w:rPr>
        <w:t>53.45</w:t>
      </w:r>
      <w:r>
        <w:rPr>
          <w:rFonts w:ascii="仿宋" w:hAnsi="仿宋" w:eastAsia="仿宋"/>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0.33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15.94</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val="en-US" w:eastAsia="zh-CN"/>
        </w:rPr>
        <w:t>用于脱贫攻坚接待开支</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187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1121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lang w:eastAsia="zh-CN"/>
        </w:rPr>
        <w:t>。</w:t>
      </w:r>
    </w:p>
    <w:p>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53.89</w:t>
      </w:r>
      <w:r>
        <w:rPr>
          <w:rFonts w:hint="eastAsia" w:ascii="仿宋_GB2312" w:eastAsia="仿宋_GB2312"/>
          <w:color w:val="000000"/>
          <w:sz w:val="32"/>
          <w:szCs w:val="32"/>
        </w:rPr>
        <w:t>万元。</w:t>
      </w:r>
    </w:p>
    <w:p>
      <w:pPr>
        <w:numPr>
          <w:ilvl w:val="0"/>
          <w:numId w:val="2"/>
        </w:numPr>
        <w:spacing w:line="600" w:lineRule="exact"/>
        <w:ind w:firstLine="640"/>
        <w:outlineLvl w:val="1"/>
        <w:rPr>
          <w:rStyle w:val="16"/>
          <w:rFonts w:ascii="黑体" w:hAnsi="黑体" w:eastAsia="黑体"/>
          <w:b w:val="0"/>
        </w:rPr>
      </w:pPr>
      <w:bookmarkStart w:id="48" w:name="_Toc15377219"/>
      <w:bookmarkStart w:id="49" w:name="_Toc15396611"/>
      <w:r>
        <w:rPr>
          <w:rStyle w:val="16"/>
          <w:rFonts w:hint="eastAsia" w:ascii="黑体" w:hAnsi="黑体" w:eastAsia="黑体"/>
          <w:b w:val="0"/>
        </w:rPr>
        <w:t>国有资本经营预算支出决算情况说明</w:t>
      </w:r>
      <w:bookmarkEnd w:id="48"/>
      <w:bookmarkEnd w:id="49"/>
    </w:p>
    <w:p>
      <w:pPr>
        <w:spacing w:line="600" w:lineRule="exact"/>
        <w:ind w:firstLine="640" w:firstLineChars="200"/>
        <w:outlineLvl w:val="1"/>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6"/>
          <w:rFonts w:ascii="黑体" w:hAnsi="黑体" w:eastAsia="黑体"/>
        </w:rPr>
      </w:pPr>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元山镇人民政府</w:t>
      </w:r>
      <w:r>
        <w:rPr>
          <w:rFonts w:hint="eastAsia" w:ascii="仿宋_GB2312" w:eastAsia="仿宋_GB2312"/>
          <w:color w:val="000000"/>
          <w:sz w:val="32"/>
          <w:szCs w:val="32"/>
        </w:rPr>
        <w:t>机关运行经费支</w:t>
      </w:r>
      <w:r>
        <w:rPr>
          <w:rFonts w:hint="eastAsia" w:ascii="仿宋_GB2312" w:eastAsia="仿宋_GB2312"/>
          <w:color w:val="000000"/>
          <w:sz w:val="32"/>
          <w:szCs w:val="32"/>
          <w:lang w:eastAsia="zh-CN"/>
        </w:rPr>
        <w:t>出</w:t>
      </w:r>
      <w:r>
        <w:rPr>
          <w:rFonts w:hint="eastAsia" w:ascii="仿宋_GB2312" w:eastAsia="仿宋_GB2312"/>
          <w:color w:val="000000"/>
          <w:sz w:val="32"/>
          <w:szCs w:val="32"/>
          <w:lang w:val="en-US" w:eastAsia="zh-CN"/>
        </w:rPr>
        <w:t>209.5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增加65.28万元</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w:t>
      </w:r>
      <w:r>
        <w:rPr>
          <w:rFonts w:hint="eastAsia" w:ascii="仿宋_GB2312" w:eastAsia="仿宋_GB2312"/>
          <w:color w:val="000000" w:themeColor="text1"/>
          <w:sz w:val="32"/>
          <w:szCs w:val="32"/>
          <w:lang w:val="en-US" w:eastAsia="zh-CN"/>
          <w14:textFill>
            <w14:solidFill>
              <w14:schemeClr w14:val="tx1"/>
            </w14:solidFill>
          </w14:textFill>
        </w:rPr>
        <w:t>是人员调资等</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hint="default" w:ascii="仿宋" w:hAnsi="仿宋" w:eastAsia="仿宋"/>
          <w:b/>
          <w:color w:val="FF0000"/>
          <w:sz w:val="32"/>
          <w:szCs w:val="32"/>
          <w:lang w:val="en-US"/>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元山镇</w:t>
      </w:r>
      <w:r>
        <w:rPr>
          <w:rFonts w:hint="eastAsia" w:ascii="仿宋_GB2312" w:eastAsia="仿宋_GB2312"/>
          <w:color w:val="000000"/>
          <w:sz w:val="32"/>
          <w:szCs w:val="32"/>
          <w:lang w:val="en-US" w:eastAsia="zh-CN"/>
        </w:rPr>
        <w:t>政</w:t>
      </w:r>
      <w:r>
        <w:rPr>
          <w:rFonts w:hint="eastAsia" w:ascii="仿宋_GB2312" w:eastAsia="仿宋_GB2312"/>
          <w:color w:val="000000"/>
          <w:sz w:val="32"/>
          <w:szCs w:val="32"/>
        </w:rPr>
        <w:t>府采购支出总额</w:t>
      </w:r>
      <w:r>
        <w:rPr>
          <w:rFonts w:hint="eastAsia" w:ascii="仿宋_GB2312" w:eastAsia="仿宋_GB2312"/>
          <w:color w:val="000000"/>
          <w:sz w:val="32"/>
          <w:szCs w:val="32"/>
          <w:lang w:val="en-US" w:eastAsia="zh-CN"/>
        </w:rPr>
        <w:t>255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。其中：政府采购货物</w:t>
      </w:r>
      <w:r>
        <w:rPr>
          <w:rFonts w:hint="eastAsia" w:ascii="仿宋_GB2312" w:eastAsia="仿宋_GB2312"/>
          <w:color w:val="000000"/>
          <w:sz w:val="32"/>
          <w:szCs w:val="32"/>
          <w:lang w:val="en-US" w:eastAsia="zh-CN"/>
        </w:rPr>
        <w:t>75万元，</w:t>
      </w:r>
      <w:r>
        <w:rPr>
          <w:rFonts w:hint="eastAsia" w:ascii="仿宋_GB2312" w:eastAsia="仿宋_GB2312"/>
          <w:color w:val="000000"/>
          <w:sz w:val="32"/>
          <w:szCs w:val="32"/>
          <w:lang w:eastAsia="zh-CN"/>
        </w:rPr>
        <w:t>政府采购服务</w:t>
      </w:r>
      <w:r>
        <w:rPr>
          <w:rFonts w:hint="eastAsia" w:ascii="仿宋_GB2312" w:eastAsia="仿宋_GB2312"/>
          <w:color w:val="000000"/>
          <w:sz w:val="32"/>
          <w:szCs w:val="32"/>
          <w:lang w:val="en-US" w:eastAsia="zh-CN"/>
        </w:rPr>
        <w:t>180万元。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spacing w:line="600" w:lineRule="exact"/>
        <w:ind w:firstLine="640" w:firstLineChars="200"/>
        <w:jc w:val="both"/>
        <w:outlineLvl w:val="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lang w:eastAsia="zh-CN"/>
        </w:rPr>
        <w:t>平昌县元山镇共有车辆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辆，其中：其他用车1辆（元山卫生院救护车）；单价50万元以上通用设备0台（套），单价100万元以上专用设备0台（套）。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numPr>
          <w:ilvl w:val="0"/>
          <w:numId w:val="0"/>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各个</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项目开展绩效监控，年终执行完毕后，对项目开展了绩效目标完成情况梳理填报。</w:t>
      </w:r>
    </w:p>
    <w:p>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农村危房改</w:t>
      </w:r>
      <w:r>
        <w:rPr>
          <w:rFonts w:hint="eastAsia" w:ascii="仿宋_GB2312" w:hAnsi="仿宋_GB2312" w:eastAsia="仿宋_GB2312" w:cs="仿宋_GB2312"/>
          <w:sz w:val="32"/>
          <w:szCs w:val="32"/>
        </w:rPr>
        <w:t>”项目绩效目标实际完成情况。</w:t>
      </w:r>
    </w:p>
    <w:p>
      <w:pPr>
        <w:numPr>
          <w:ilvl w:val="0"/>
          <w:numId w:val="0"/>
        </w:numPr>
        <w:spacing w:line="580" w:lineRule="exact"/>
        <w:ind w:firstLine="640" w:firstLineChars="200"/>
        <w:rPr>
          <w:rFonts w:hint="eastAsia" w:ascii="仿宋" w:hAnsi="仿宋" w:eastAsia="仿宋" w:cs="仿宋"/>
          <w:kern w:val="0"/>
          <w:sz w:val="32"/>
          <w:szCs w:val="32"/>
          <w:lang w:val="en-US" w:eastAsia="zh-CN" w:bidi="ar"/>
        </w:rPr>
      </w:pPr>
      <w:r>
        <w:rPr>
          <w:rFonts w:hint="eastAsia" w:ascii="仿宋_GB2312" w:hAnsi="仿宋_GB2312" w:eastAsia="仿宋_GB2312" w:cs="仿宋_GB2312"/>
          <w:sz w:val="32"/>
          <w:szCs w:val="32"/>
          <w:lang w:eastAsia="zh-CN"/>
        </w:rPr>
        <w:t>农村危房改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468.2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468.2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农村住房安全，使农民住上了放心的安全住房</w:t>
      </w:r>
      <w:r>
        <w:rPr>
          <w:rFonts w:hint="eastAsia" w:ascii="仿宋_GB2312" w:hAnsi="仿宋_GB2312" w:eastAsia="仿宋_GB2312" w:cs="仿宋_GB2312"/>
          <w:sz w:val="32"/>
          <w:szCs w:val="32"/>
        </w:rPr>
        <w:t>，发现的主要问题：</w:t>
      </w:r>
      <w:r>
        <w:rPr>
          <w:rFonts w:hint="eastAsia" w:ascii="仿宋" w:hAnsi="仿宋" w:eastAsia="仿宋" w:cs="仿宋"/>
          <w:kern w:val="0"/>
          <w:sz w:val="32"/>
          <w:szCs w:val="32"/>
          <w:lang w:val="en-US" w:eastAsia="zh-CN" w:bidi="ar"/>
        </w:rPr>
        <w:t>任务</w:t>
      </w:r>
    </w:p>
    <w:p>
      <w:pPr>
        <w:numPr>
          <w:ilvl w:val="0"/>
          <w:numId w:val="0"/>
        </w:numPr>
        <w:spacing w:line="580" w:lineRule="exact"/>
        <w:rPr>
          <w:rFonts w:hint="eastAsia" w:ascii="仿宋_GB2312" w:hAnsi="仿宋_GB2312" w:eastAsia="仿宋" w:cs="仿宋_GB2312"/>
          <w:sz w:val="32"/>
          <w:szCs w:val="32"/>
          <w:lang w:val="en-US" w:eastAsia="zh-CN"/>
        </w:rPr>
      </w:pPr>
      <w:r>
        <w:rPr>
          <w:rFonts w:hint="eastAsia" w:ascii="仿宋" w:hAnsi="仿宋" w:eastAsia="仿宋" w:cs="仿宋"/>
          <w:kern w:val="0"/>
          <w:sz w:val="32"/>
          <w:szCs w:val="32"/>
          <w:lang w:val="en-US" w:eastAsia="zh-CN" w:bidi="ar"/>
        </w:rPr>
        <w:t>艰巨，面宽量大。</w:t>
      </w:r>
    </w:p>
    <w:tbl>
      <w:tblPr>
        <w:tblStyle w:val="11"/>
        <w:tblpPr w:leftFromText="180" w:rightFromText="180" w:vertAnchor="text" w:horzAnchor="page" w:tblpX="1347" w:tblpY="-925"/>
        <w:tblOverlap w:val="never"/>
        <w:tblW w:w="8685" w:type="dxa"/>
        <w:tblInd w:w="0" w:type="dxa"/>
        <w:tblLayout w:type="fixed"/>
        <w:tblCellMar>
          <w:top w:w="0" w:type="dxa"/>
          <w:left w:w="0" w:type="dxa"/>
          <w:bottom w:w="0" w:type="dxa"/>
          <w:right w:w="0" w:type="dxa"/>
        </w:tblCellMar>
      </w:tblPr>
      <w:tblGrid>
        <w:gridCol w:w="690"/>
        <w:gridCol w:w="1067"/>
        <w:gridCol w:w="1025"/>
        <w:gridCol w:w="1688"/>
        <w:gridCol w:w="2520"/>
        <w:gridCol w:w="1695"/>
      </w:tblGrid>
      <w:tr>
        <w:tblPrEx>
          <w:tblCellMar>
            <w:top w:w="0" w:type="dxa"/>
            <w:left w:w="0" w:type="dxa"/>
            <w:bottom w:w="0" w:type="dxa"/>
            <w:right w:w="0" w:type="dxa"/>
          </w:tblCellMar>
        </w:tblPrEx>
        <w:trPr>
          <w:trHeight w:val="1034" w:hRule="atLeast"/>
        </w:trPr>
        <w:tc>
          <w:tcPr>
            <w:tcW w:w="8685" w:type="dxa"/>
            <w:gridSpan w:val="6"/>
            <w:tcMar>
              <w:top w:w="15" w:type="dxa"/>
              <w:left w:w="15" w:type="dxa"/>
              <w:bottom w:w="0" w:type="dxa"/>
              <w:right w:w="15" w:type="dxa"/>
            </w:tcMar>
            <w:vAlign w:val="center"/>
          </w:tcPr>
          <w:p>
            <w:pPr>
              <w:pStyle w:val="17"/>
              <w:keepNext w:val="0"/>
              <w:keepLines w:val="0"/>
              <w:widowControl/>
              <w:suppressLineNumbers w:val="0"/>
              <w:spacing w:before="0" w:beforeAutospacing="0" w:after="0" w:afterAutospacing="0"/>
              <w:ind w:left="4173" w:leftChars="1310" w:right="0" w:hanging="1422" w:hangingChars="395"/>
              <w:textAlignment w:val="center"/>
              <w:rPr>
                <w:rFonts w:hint="default"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项目名称</w:t>
            </w:r>
          </w:p>
        </w:tc>
        <w:tc>
          <w:tcPr>
            <w:tcW w:w="59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农村危房改造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预算单位</w:t>
            </w:r>
          </w:p>
        </w:tc>
        <w:tc>
          <w:tcPr>
            <w:tcW w:w="59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元山镇人民政府</w:t>
            </w:r>
          </w:p>
        </w:tc>
      </w:tr>
      <w:tr>
        <w:tblPrEx>
          <w:tblCellMar>
            <w:top w:w="0" w:type="dxa"/>
            <w:left w:w="0" w:type="dxa"/>
            <w:bottom w:w="0" w:type="dxa"/>
            <w:right w:w="0" w:type="dxa"/>
          </w:tblCellMar>
        </w:tblPrEx>
        <w:trPr>
          <w:trHeight w:val="276"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预算执行情况(万元)</w:t>
            </w: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预算数:</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468.2万元</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执行数:</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468.2万元</w:t>
            </w:r>
          </w:p>
        </w:tc>
      </w:tr>
      <w:tr>
        <w:tblPrEx>
          <w:tblCellMar>
            <w:top w:w="0" w:type="dxa"/>
            <w:left w:w="0" w:type="dxa"/>
            <w:bottom w:w="0" w:type="dxa"/>
            <w:right w:w="0" w:type="dxa"/>
          </w:tblCellMar>
        </w:tblPrEx>
        <w:trPr>
          <w:trHeight w:val="276"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w:t>
            </w:r>
          </w:p>
        </w:tc>
      </w:tr>
      <w:tr>
        <w:tblPrEx>
          <w:tblCellMar>
            <w:top w:w="0" w:type="dxa"/>
            <w:left w:w="0" w:type="dxa"/>
            <w:bottom w:w="0" w:type="dxa"/>
            <w:right w:w="0" w:type="dxa"/>
          </w:tblCellMar>
        </w:tblPrEx>
        <w:trPr>
          <w:trHeight w:val="1511"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rPr>
            </w:pPr>
          </w:p>
        </w:tc>
      </w:tr>
      <w:tr>
        <w:tblPrEx>
          <w:tblCellMar>
            <w:top w:w="0" w:type="dxa"/>
            <w:left w:w="0" w:type="dxa"/>
            <w:bottom w:w="0" w:type="dxa"/>
            <w:right w:w="0" w:type="dxa"/>
          </w:tblCellMar>
        </w:tblPrEx>
        <w:trPr>
          <w:trHeight w:val="276"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年度目标完成情况</w:t>
            </w:r>
          </w:p>
        </w:tc>
        <w:tc>
          <w:tcPr>
            <w:tcW w:w="37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预期目标</w:t>
            </w:r>
          </w:p>
        </w:tc>
        <w:tc>
          <w:tcPr>
            <w:tcW w:w="42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579"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37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改造农村土坯房</w:t>
            </w:r>
          </w:p>
        </w:tc>
        <w:tc>
          <w:tcPr>
            <w:tcW w:w="42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住房安全</w:t>
            </w:r>
          </w:p>
        </w:tc>
      </w:tr>
      <w:tr>
        <w:tblPrEx>
          <w:tblCellMar>
            <w:top w:w="0" w:type="dxa"/>
            <w:left w:w="0" w:type="dxa"/>
            <w:bottom w:w="0" w:type="dxa"/>
            <w:right w:w="0" w:type="dxa"/>
          </w:tblCellMar>
        </w:tblPrEx>
        <w:trPr>
          <w:trHeight w:val="1042" w:hRule="atLeast"/>
        </w:trPr>
        <w:tc>
          <w:tcPr>
            <w:tcW w:w="690" w:type="dxa"/>
            <w:vMerge w:val="restar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24"/>
              </w:rPr>
              <w:t>绩效指标完成情况</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二级指标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三级指标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预期指标值(包含数字及文字描述)</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lang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eastAsia="zh-CN"/>
              </w:rPr>
              <w:t>项目</w:t>
            </w:r>
            <w:r>
              <w:rPr>
                <w:rFonts w:hint="eastAsia" w:ascii="宋体" w:hAnsi="宋体" w:cs="宋体"/>
                <w:color w:val="000000"/>
                <w:kern w:val="0"/>
                <w:sz w:val="20"/>
                <w:szCs w:val="20"/>
              </w:rPr>
              <w:t>决策</w:t>
            </w:r>
          </w:p>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000000"/>
                <w:sz w:val="24"/>
                <w:lang w:eastAsia="zh-CN"/>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79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明确性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59"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合理性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资金分配</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8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资金使用</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849" w:hRule="atLeast"/>
        </w:trPr>
        <w:tc>
          <w:tcPr>
            <w:tcW w:w="690" w:type="dxa"/>
            <w:vMerge w:val="continue"/>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16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执行规范</w:t>
            </w:r>
          </w:p>
        </w:tc>
        <w:tc>
          <w:tcPr>
            <w:tcW w:w="252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c>
          <w:tcPr>
            <w:tcW w:w="16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top w:val="single" w:color="auto" w:sz="4" w:space="0"/>
              <w:left w:val="single" w:color="auto" w:sz="4" w:space="0"/>
              <w:right w:val="single" w:color="auto"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102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完成数量</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4"/>
                <w:lang w:bidi="ar"/>
              </w:rPr>
            </w:pPr>
          </w:p>
        </w:tc>
        <w:tc>
          <w:tcPr>
            <w:tcW w:w="102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完成质量</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完成时效</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restar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完成成本</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经济效益（可选项）</w:t>
            </w:r>
          </w:p>
        </w:tc>
        <w:tc>
          <w:tcPr>
            <w:tcW w:w="25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社会效益（可选项）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生态效益（可选项）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可持续效益（可选项）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公平效率（可选项）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使用效率（可选项）</w:t>
            </w:r>
          </w:p>
        </w:tc>
        <w:tc>
          <w:tcPr>
            <w:tcW w:w="25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ascii="宋体" w:hAnsi="宋体" w:eastAsia="宋体" w:cs="宋体"/>
                <w:color w:val="000000"/>
                <w:kern w:val="0"/>
                <w:sz w:val="20"/>
                <w:szCs w:val="20"/>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服务对象满意度    </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总分</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98</w:t>
            </w:r>
          </w:p>
        </w:tc>
        <w:tc>
          <w:tcPr>
            <w:tcW w:w="168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w:t>
            </w:r>
          </w:p>
        </w:tc>
      </w:tr>
    </w:tbl>
    <w:p>
      <w:pPr>
        <w:spacing w:line="580" w:lineRule="exact"/>
        <w:rPr>
          <w:rFonts w:hint="eastAsia" w:ascii="仿宋_GB2312" w:hAnsi="仿宋_GB2312" w:eastAsia="仿宋_GB2312" w:cs="仿宋_GB2312"/>
          <w:sz w:val="32"/>
          <w:szCs w:val="32"/>
        </w:rPr>
      </w:pP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年部门整体支出开展绩效自评，评价</w:t>
      </w:r>
      <w:r>
        <w:rPr>
          <w:rFonts w:hint="eastAsia" w:ascii="仿宋_GB2312" w:hAnsi="仿宋_GB2312" w:eastAsia="仿宋_GB2312" w:cs="仿宋_GB2312"/>
          <w:sz w:val="32"/>
          <w:szCs w:val="32"/>
          <w:lang w:eastAsia="zh-CN"/>
        </w:rPr>
        <w:t>良好，自评得分</w:t>
      </w:r>
      <w:r>
        <w:rPr>
          <w:rFonts w:hint="eastAsia" w:ascii="仿宋_GB2312" w:hAnsi="仿宋_GB2312" w:eastAsia="仿宋_GB2312" w:cs="仿宋_GB2312"/>
          <w:sz w:val="32"/>
          <w:szCs w:val="32"/>
          <w:lang w:val="en-US" w:eastAsia="zh-CN"/>
        </w:rPr>
        <w:t>98分</w:t>
      </w:r>
      <w:r>
        <w:rPr>
          <w:rFonts w:hint="eastAsia" w:ascii="仿宋_GB2312" w:hAnsi="仿宋_GB2312" w:eastAsia="仿宋_GB2312" w:cs="仿宋_GB2312"/>
          <w:sz w:val="32"/>
          <w:szCs w:val="32"/>
        </w:rPr>
        <w:t>。</w:t>
      </w:r>
    </w:p>
    <w:p>
      <w:pPr>
        <w:jc w:val="both"/>
        <w:rPr>
          <w:rFonts w:hint="eastAsia" w:ascii="黑体" w:hAnsi="黑体" w:eastAsia="仿宋_GB2312"/>
          <w:color w:val="000000"/>
          <w:sz w:val="32"/>
          <w:szCs w:val="32"/>
          <w:lang w:val="en-US" w:eastAsia="zh-CN"/>
        </w:rPr>
      </w:pP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开展了项目绩效评价。</w:t>
      </w: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9</w:t>
      </w:r>
      <w:r>
        <w:rPr>
          <w:rFonts w:hint="eastAsia" w:ascii="黑体" w:hAnsi="黑体" w:eastAsia="黑体"/>
          <w:color w:val="000000"/>
          <w:sz w:val="32"/>
          <w:szCs w:val="32"/>
        </w:rPr>
        <w:t>年部门整体支出绩效评价得分表</w:t>
      </w:r>
    </w:p>
    <w:tbl>
      <w:tblPr>
        <w:tblStyle w:val="11"/>
        <w:tblW w:w="8343" w:type="dxa"/>
        <w:tblInd w:w="-176" w:type="dxa"/>
        <w:tblLayout w:type="fixed"/>
        <w:tblCellMar>
          <w:top w:w="0" w:type="dxa"/>
          <w:left w:w="108" w:type="dxa"/>
          <w:bottom w:w="0" w:type="dxa"/>
          <w:right w:w="108" w:type="dxa"/>
        </w:tblCellMar>
      </w:tblPr>
      <w:tblGrid>
        <w:gridCol w:w="1702"/>
        <w:gridCol w:w="2268"/>
        <w:gridCol w:w="3402"/>
        <w:gridCol w:w="971"/>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971"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相关性（5分）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明确性（5分）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合理性（5分）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测算依据（5分）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目标管理（5分）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决算公开（2分）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部门特性指标</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人才培养（5分）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4</w:t>
            </w:r>
          </w:p>
        </w:tc>
      </w:tr>
    </w:tbl>
    <w:p>
      <w:pPr>
        <w:spacing w:line="600" w:lineRule="exact"/>
        <w:outlineLvl w:val="1"/>
        <w:rPr>
          <w:rFonts w:ascii="仿宋_GB2312" w:eastAsia="仿宋_GB2312"/>
          <w:b/>
          <w:color w:val="000000"/>
          <w:sz w:val="32"/>
          <w:szCs w:val="32"/>
        </w:rPr>
      </w:pPr>
    </w:p>
    <w:p>
      <w:pPr>
        <w:widowControl w:val="0"/>
        <w:numPr>
          <w:ilvl w:val="0"/>
          <w:numId w:val="0"/>
        </w:numPr>
        <w:spacing w:line="600" w:lineRule="exact"/>
        <w:jc w:val="center"/>
        <w:outlineLvl w:val="0"/>
        <w:rPr>
          <w:rStyle w:val="15"/>
          <w:rFonts w:ascii="黑体" w:hAnsi="黑体" w:eastAsia="黑体"/>
          <w:b w:val="0"/>
        </w:rPr>
      </w:pPr>
      <w:bookmarkStart w:id="50" w:name="_Toc15396613"/>
      <w:bookmarkStart w:id="51" w:name="_Toc15377225"/>
    </w:p>
    <w:p>
      <w:pPr>
        <w:pageBreakBefore w:val="0"/>
        <w:numPr>
          <w:ilvl w:val="0"/>
          <w:numId w:val="4"/>
        </w:numPr>
        <w:kinsoku/>
        <w:wordWrap/>
        <w:overflowPunct/>
        <w:topLinePunct w:val="0"/>
        <w:bidi w:val="0"/>
        <w:spacing w:line="560" w:lineRule="exact"/>
        <w:ind w:firstLine="663" w:firstLineChars="150"/>
        <w:jc w:val="center"/>
        <w:outlineLvl w:val="0"/>
        <w:rPr>
          <w:rStyle w:val="15"/>
          <w:rFonts w:hint="default" w:ascii="Times New Roman" w:hAnsi="Times New Roman" w:eastAsia="黑体" w:cs="Times New Roman"/>
          <w:b w:val="0"/>
        </w:rPr>
      </w:pPr>
      <w:r>
        <w:rPr>
          <w:rFonts w:hint="default" w:ascii="Times New Roman" w:hAnsi="Times New Roman" w:eastAsia="黑体" w:cs="Times New Roman"/>
          <w:b/>
          <w:color w:val="000000"/>
          <w:sz w:val="44"/>
          <w:szCs w:val="44"/>
        </w:rPr>
        <w:t>名</w:t>
      </w:r>
      <w:r>
        <w:rPr>
          <w:rStyle w:val="15"/>
          <w:rFonts w:hint="default" w:ascii="Times New Roman" w:hAnsi="Times New Roman" w:eastAsia="黑体" w:cs="Times New Roman"/>
          <w:b w:val="0"/>
        </w:rPr>
        <w:t>词解释</w:t>
      </w:r>
    </w:p>
    <w:p>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pPr>
        <w:pStyle w:val="18"/>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18"/>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2.事业收入：指事业单位开展专业业务活动及辅助活动取得的收入。</w:t>
      </w:r>
    </w:p>
    <w:p>
      <w:pPr>
        <w:pStyle w:val="18"/>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3.经营收入：指事业单位在专业业务活动及其辅助活动之外开展非独立核算经营活动取得的收入。</w:t>
      </w:r>
    </w:p>
    <w:p>
      <w:pPr>
        <w:pStyle w:val="18"/>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4.其他收入：指单位取得的除上述收入以外的各项收入。</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18"/>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pPr>
        <w:pStyle w:val="18"/>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四部分 附件</w:t>
      </w:r>
    </w:p>
    <w:p>
      <w:pPr>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w:t>
      </w:r>
      <w:bookmarkStart w:id="52" w:name="_Toc15396616"/>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元山镇</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w:t>
      </w:r>
      <w:r>
        <w:rPr>
          <w:rFonts w:hint="eastAsia" w:ascii="黑体" w:hAnsi="黑体" w:eastAsia="黑体" w:cs="方正小标宋简体"/>
          <w:color w:val="auto"/>
          <w:sz w:val="36"/>
          <w:szCs w:val="36"/>
          <w:highlight w:val="none"/>
        </w:rPr>
        <w:t>整体支出</w:t>
      </w:r>
      <w:r>
        <w:rPr>
          <w:rFonts w:hint="eastAsia" w:ascii="黑体" w:hAnsi="黑体" w:eastAsia="黑体" w:cs="方正小标宋简体"/>
          <w:sz w:val="36"/>
          <w:szCs w:val="36"/>
        </w:rPr>
        <w:t>绩效评价报告</w:t>
      </w:r>
      <w:bookmarkEnd w:id="52"/>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800" w:firstLineChars="25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（一）机构组成。</w:t>
      </w:r>
    </w:p>
    <w:p>
      <w:pPr>
        <w:ind w:firstLine="800" w:firstLineChars="25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平昌县元山镇下属二级单位</w:t>
      </w:r>
      <w:r>
        <w:rPr>
          <w:rFonts w:hint="eastAsia" w:eastAsia="仿宋_GB2312" w:cs="Times New Roman"/>
          <w:color w:val="000000"/>
          <w:kern w:val="0"/>
          <w:sz w:val="32"/>
          <w:szCs w:val="32"/>
          <w:lang w:val="en-US" w:eastAsia="zh-CN" w:bidi="ar-SA"/>
        </w:rPr>
        <w:t>5</w:t>
      </w:r>
      <w:r>
        <w:rPr>
          <w:rFonts w:hint="eastAsia" w:ascii="Times New Roman" w:hAnsi="Times New Roman" w:eastAsia="仿宋_GB2312" w:cs="Times New Roman"/>
          <w:color w:val="000000"/>
          <w:kern w:val="0"/>
          <w:sz w:val="32"/>
          <w:szCs w:val="32"/>
          <w:lang w:val="en-US" w:eastAsia="zh-CN" w:bidi="ar-SA"/>
        </w:rPr>
        <w:t>个，其中其他事业单位5个。纳入元山镇2019年度部门决算编制范围的二级预算单位包括：元山中学、元山小学、张公小学、元山中心卫生院、张公卫生院。</w:t>
      </w:r>
    </w:p>
    <w:p>
      <w:pPr>
        <w:pStyle w:val="5"/>
        <w:numPr>
          <w:ilvl w:val="0"/>
          <w:numId w:val="5"/>
        </w:numPr>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机构职能。</w:t>
      </w:r>
    </w:p>
    <w:p>
      <w:pPr>
        <w:pStyle w:val="5"/>
        <w:numPr>
          <w:ilvl w:val="0"/>
          <w:numId w:val="0"/>
        </w:numPr>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1、执行国家行政机关的决定、命令和国家制定的法令、法规，执行本级人民代表大会的各项决议，并报告执行决议、决定和命令的情况。</w:t>
      </w:r>
    </w:p>
    <w:p>
      <w:pPr>
        <w:pStyle w:val="5"/>
        <w:adjustRightInd w:val="0"/>
        <w:snapToGrid w:val="0"/>
        <w:spacing w:before="93" w:line="520" w:lineRule="exact"/>
        <w:ind w:firstLine="624"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2、</w:t>
      </w:r>
      <w:r>
        <w:rPr>
          <w:rFonts w:hint="eastAsia" w:ascii="Times New Roman" w:hAnsi="Times New Roman" w:eastAsia="仿宋_GB2312" w:cs="Times New Roman"/>
          <w:color w:val="000000"/>
          <w:kern w:val="0"/>
          <w:sz w:val="32"/>
          <w:szCs w:val="32"/>
          <w:lang w:val="en-US" w:eastAsia="zh-CN" w:bidi="ar-SA"/>
        </w:rPr>
        <w:t>执行全镇的社会和经济发展计划、预算，管理本镇内的经济、教育、科技、文化、卫生、体育事业和财政、民政、治安、人民调解、安全生产监督管理、移民开发、计划生育等行政工作。</w:t>
      </w:r>
    </w:p>
    <w:p>
      <w:pPr>
        <w:pStyle w:val="5"/>
        <w:adjustRightInd w:val="0"/>
        <w:snapToGrid w:val="0"/>
        <w:spacing w:before="93" w:line="520" w:lineRule="exact"/>
        <w:ind w:firstLine="624"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3、</w:t>
      </w:r>
      <w:r>
        <w:rPr>
          <w:rFonts w:hint="eastAsia" w:ascii="Times New Roman" w:hAnsi="Times New Roman" w:eastAsia="仿宋_GB2312" w:cs="Times New Roman"/>
          <w:color w:val="000000"/>
          <w:kern w:val="0"/>
          <w:sz w:val="32"/>
          <w:szCs w:val="32"/>
          <w:lang w:val="en-US" w:eastAsia="zh-CN" w:bidi="ar-SA"/>
        </w:rPr>
        <w:t>制定并落实本镇的经济计划和措施，全面提高人民群众的生活水平和生活质量。</w:t>
      </w:r>
    </w:p>
    <w:p>
      <w:pPr>
        <w:pStyle w:val="5"/>
        <w:adjustRightInd w:val="0"/>
        <w:snapToGrid w:val="0"/>
        <w:spacing w:before="93" w:line="520" w:lineRule="exact"/>
        <w:ind w:firstLine="624"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4、</w:t>
      </w:r>
      <w:r>
        <w:rPr>
          <w:rFonts w:hint="eastAsia" w:ascii="Times New Roman" w:hAnsi="Times New Roman" w:eastAsia="仿宋_GB2312" w:cs="Times New Roman"/>
          <w:color w:val="000000"/>
          <w:kern w:val="0"/>
          <w:sz w:val="32"/>
          <w:szCs w:val="32"/>
          <w:lang w:val="en-US" w:eastAsia="zh-CN" w:bidi="ar-SA"/>
        </w:rPr>
        <w:t>保护社会主义的全民所有财产和劳动群众集体所有财产，保护公民私人所有的合法财产，维护社会秩序，保障公民的人身权利、民主权利和其他权利。</w:t>
      </w:r>
    </w:p>
    <w:p>
      <w:pPr>
        <w:pStyle w:val="5"/>
        <w:adjustRightInd w:val="0"/>
        <w:snapToGrid w:val="0"/>
        <w:spacing w:before="93" w:line="520" w:lineRule="exact"/>
        <w:ind w:firstLine="624"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spacing w:val="-4"/>
          <w:sz w:val="32"/>
          <w:szCs w:val="32"/>
        </w:rPr>
        <w:t>5、</w:t>
      </w:r>
      <w:r>
        <w:rPr>
          <w:rFonts w:hint="eastAsia" w:ascii="Times New Roman" w:hAnsi="Times New Roman" w:eastAsia="仿宋_GB2312" w:cs="Times New Roman"/>
          <w:color w:val="000000"/>
          <w:kern w:val="0"/>
          <w:sz w:val="32"/>
          <w:szCs w:val="32"/>
          <w:lang w:val="en-US" w:eastAsia="zh-CN" w:bidi="ar-SA"/>
        </w:rPr>
        <w:t>贯彻执行党和国家的民族宗教政策，保障少数民族的权利和尊重少数民族的风俗习惯，尊重民族宗教信仰。</w:t>
      </w:r>
    </w:p>
    <w:p>
      <w:pPr>
        <w:pStyle w:val="5"/>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6、保障宪法和法律赋予妇女的男女平等、婚姻自由等各项权利。</w:t>
      </w:r>
    </w:p>
    <w:p>
      <w:pPr>
        <w:pStyle w:val="5"/>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7、开展社会主义民主和法制的宣传教育，保障公民的权利，打击违法犯罪，维护社会稳定。</w:t>
      </w:r>
    </w:p>
    <w:p>
      <w:pPr>
        <w:pStyle w:val="5"/>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8、指导村（居）民委员会的组织制度建设和业务建设，促进村（居）民委员会民主自治。</w:t>
      </w:r>
    </w:p>
    <w:p>
      <w:pPr>
        <w:pStyle w:val="5"/>
        <w:adjustRightInd w:val="0"/>
        <w:snapToGrid w:val="0"/>
        <w:spacing w:before="93" w:line="52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9、协助和支持设置在本行政区域内不隶属于镇的国家机关和企事业单位工作，监督其遵守和执行国家的法律、法规和政策。</w:t>
      </w:r>
    </w:p>
    <w:p>
      <w:pPr>
        <w:pStyle w:val="5"/>
        <w:adjustRightInd w:val="0"/>
        <w:snapToGrid w:val="0"/>
        <w:spacing w:before="93" w:line="600" w:lineRule="exact"/>
        <w:ind w:firstLine="672" w:firstLineChars="210"/>
        <w:outlineLvl w:val="2"/>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10、承办本级党委、人大和上级交办的其它事项。</w:t>
      </w:r>
    </w:p>
    <w:p>
      <w:pPr>
        <w:widowControl/>
        <w:shd w:val="clear" w:color="auto" w:fill="FFFFFF"/>
        <w:spacing w:line="540" w:lineRule="atLeast"/>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（三）人员概况。</w:t>
      </w:r>
      <w:r>
        <w:rPr>
          <w:rFonts w:hint="eastAsia" w:ascii="Times New Roman" w:hAnsi="Times New Roman" w:eastAsia="仿宋_GB2312" w:cs="Times New Roman"/>
          <w:color w:val="000000"/>
          <w:kern w:val="0"/>
          <w:sz w:val="32"/>
          <w:szCs w:val="32"/>
          <w:lang w:val="en-US" w:eastAsia="zh-CN" w:bidi="ar-SA"/>
        </w:rPr>
        <w:t>元山镇现有编制420人。其中行政编制28人，事业编制412人。2019年末在职人员422人，其中行政28人，事业412人,经费自理2人；遗属34人，年末学生3205人。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（一）部门财政资金收入情况。</w:t>
      </w:r>
    </w:p>
    <w:p>
      <w:pPr>
        <w:spacing w:line="600" w:lineRule="exact"/>
        <w:ind w:firstLine="640" w:firstLineChars="200"/>
        <w:outlineLvl w:val="1"/>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2019年元山镇</w:t>
      </w:r>
      <w:r>
        <w:rPr>
          <w:rFonts w:hint="default" w:ascii="Times New Roman" w:hAnsi="Times New Roman" w:eastAsia="仿宋_GB2312" w:cs="Times New Roman"/>
          <w:color w:val="000000"/>
          <w:kern w:val="0"/>
          <w:sz w:val="32"/>
          <w:szCs w:val="32"/>
          <w:lang w:val="en-US" w:eastAsia="zh-CN" w:bidi="ar-SA"/>
        </w:rPr>
        <w:t>财政资金</w:t>
      </w:r>
      <w:r>
        <w:rPr>
          <w:rFonts w:hint="eastAsia" w:ascii="Times New Roman" w:hAnsi="Times New Roman" w:eastAsia="仿宋_GB2312" w:cs="Times New Roman"/>
          <w:color w:val="000000"/>
          <w:kern w:val="0"/>
          <w:sz w:val="32"/>
          <w:szCs w:val="32"/>
          <w:lang w:val="en-US" w:eastAsia="zh-CN" w:bidi="ar-SA"/>
        </w:rPr>
        <w:t>收入总额为9512.14万元，其中：当年公共预算财政拨款9078.11万元，占95.44%；政府性基金预算财政拨款收入53.89万元，占0.57%；事业收入380.15万元，占4.00%。</w:t>
      </w:r>
    </w:p>
    <w:p>
      <w:pPr>
        <w:numPr>
          <w:ilvl w:val="0"/>
          <w:numId w:val="0"/>
        </w:numPr>
        <w:spacing w:line="58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二</w:t>
      </w:r>
      <w:r>
        <w:rPr>
          <w:rFonts w:hint="default" w:ascii="Times New Roman" w:hAnsi="Times New Roman" w:eastAsia="仿宋_GB2312" w:cs="Times New Roman"/>
          <w:color w:val="000000"/>
          <w:kern w:val="0"/>
          <w:sz w:val="32"/>
          <w:szCs w:val="32"/>
          <w:lang w:val="en-US" w:eastAsia="zh-CN" w:bidi="ar-SA"/>
        </w:rPr>
        <w:t>）部门财政资金支出情况。</w:t>
      </w:r>
    </w:p>
    <w:p>
      <w:pPr>
        <w:spacing w:line="600" w:lineRule="exact"/>
        <w:ind w:firstLine="640"/>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201</w:t>
      </w:r>
      <w:r>
        <w:rPr>
          <w:rFonts w:hint="eastAsia" w:ascii="Times New Roman" w:hAnsi="Times New Roman" w:eastAsia="仿宋_GB2312" w:cs="Times New Roman"/>
          <w:color w:val="000000"/>
          <w:kern w:val="0"/>
          <w:sz w:val="32"/>
          <w:szCs w:val="32"/>
          <w:lang w:val="en-US" w:eastAsia="zh-CN" w:bidi="ar-SA"/>
        </w:rPr>
        <w:t>9年</w:t>
      </w:r>
      <w:r>
        <w:rPr>
          <w:rFonts w:hint="default" w:ascii="Times New Roman" w:hAnsi="Times New Roman" w:eastAsia="仿宋_GB2312" w:cs="Times New Roman"/>
          <w:color w:val="000000"/>
          <w:kern w:val="0"/>
          <w:sz w:val="32"/>
          <w:szCs w:val="32"/>
          <w:lang w:val="en-US" w:eastAsia="zh-CN" w:bidi="ar-SA"/>
        </w:rPr>
        <w:t>财政资金</w:t>
      </w:r>
      <w:r>
        <w:rPr>
          <w:rFonts w:hint="eastAsia" w:ascii="Times New Roman" w:hAnsi="Times New Roman" w:eastAsia="仿宋_GB2312" w:cs="Times New Roman"/>
          <w:color w:val="000000"/>
          <w:kern w:val="0"/>
          <w:sz w:val="32"/>
          <w:szCs w:val="32"/>
          <w:lang w:val="en-US" w:eastAsia="zh-CN" w:bidi="ar-SA"/>
        </w:rPr>
        <w:t>支出9078.11万元，主要用于以下方面</w:t>
      </w:r>
      <w:r>
        <w:rPr>
          <w:rFonts w:hint="default" w:ascii="Times New Roman" w:hAnsi="Times New Roman" w:eastAsia="仿宋_GB2312" w:cs="Times New Roman"/>
          <w:color w:val="000000"/>
          <w:kern w:val="0"/>
          <w:sz w:val="32"/>
          <w:szCs w:val="32"/>
          <w:lang w:val="en-US" w:eastAsia="zh-CN" w:bidi="ar-SA"/>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Times New Roman" w:hAnsi="Times New Roman" w:eastAsia="仿宋_GB2312" w:cs="Times New Roman"/>
          <w:color w:val="000000"/>
          <w:kern w:val="0"/>
          <w:sz w:val="32"/>
          <w:szCs w:val="32"/>
          <w:lang w:val="en-US" w:eastAsia="zh-CN" w:bidi="ar-SA"/>
        </w:rPr>
        <w:t>一般公共服务504.74万元，国防2.00万元，公共安全26.48万元，教育支出3875.78万元，文化体育与传媒70.54万元，社会保障和就业649.97万元，卫生健康1265.65万元，节能环保17.68万元，城乡社区63.89万元，农林水1681.34万元，交通运输14.84万元，住房保障768.20万元，灾害防治及应急管理37.00万元，债务付息100.00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（一）部门预算管理</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决算编制情况。元山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pPr>
        <w:widowControl/>
        <w:shd w:val="clear" w:color="auto" w:fill="FFFFFF"/>
        <w:spacing w:line="540" w:lineRule="atLeas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执行管理情况。元山镇按照县财政的要求，及时分月、分季度上报相应计划，待财政审核通过后，严格按计划执行，2019年基本支出按月进行申报，其中人员工资按月申报并直接支付，日常公用经费按月进行申报并支付。预算执行情况良好。</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预算支出完成情况。元山镇财政拨款支出主要用于保障我镇部门机构正常运转、完成日常工作任务以及承担本镇镇事业发展相关工作。  基本支出，是用于保障政府机关、事业单位等机构正常运转的日常支出，包括基本工资、津贴补贴等人员经费以及办公费、印刷费、水电费、办公设备购置等日常公用经费。</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（二）项目预算管理</w:t>
      </w:r>
    </w:p>
    <w:p>
      <w:pPr>
        <w:widowControl/>
        <w:shd w:val="clear" w:color="auto" w:fill="FFFFFF"/>
        <w:spacing w:line="540" w:lineRule="atLeas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项目预算申报情况。年初预算项目资金按季进行申报。</w:t>
      </w:r>
    </w:p>
    <w:p>
      <w:pPr>
        <w:widowControl/>
        <w:shd w:val="clear" w:color="auto" w:fill="FFFFFF"/>
        <w:spacing w:line="540" w:lineRule="atLeast"/>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项目资金管理情况。元山镇项目资金管理严格按照用款计划，分月、季度执行，按照项目资金管理办法实行专款专用。</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项目目标完成情况。项目支出，是用于保障政府机关、事业单位等机构为完成特定的行政工作任务或事业发展目标，用于专项业务工作的经费支出，是按照年初预算项目，实施完成后使全镇环境更优美、经济更稳定、社会更和谐，达到预期经济、社会目标。</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（三）结果应用情况。</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财务管理情况。元山镇认真执行中央八项规定，严格按照勤俭节约的原则，严格控制三公经费支出，按照岗位职责，严格执行机关财务管理制度，及时进行会计核算，对项目资金、政府采购进行公开公示，接受群众监督。</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绩效管理工作开展情况。元山镇绩效管理严格按照上级部门要求，开展自评工作，对评价结果及时总结上报。</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四、评价结论及建议</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（一）评价结论</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元山镇按照预算法按时完成预决算编制。在执行过程中有计划进行资金申报使用，完善资金管理及内部控制制度，确保资金安全，做到</w:t>
      </w:r>
      <w:r>
        <w:rPr>
          <w:rFonts w:hint="eastAsia" w:eastAsia="仿宋_GB2312" w:cs="Times New Roman"/>
          <w:color w:val="000000"/>
          <w:kern w:val="0"/>
          <w:sz w:val="32"/>
          <w:szCs w:val="32"/>
          <w:lang w:val="en-US" w:eastAsia="zh-CN" w:bidi="ar-SA"/>
        </w:rPr>
        <w:t>账款</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账账</w:t>
      </w:r>
      <w:r>
        <w:rPr>
          <w:rFonts w:hint="eastAsia" w:ascii="Times New Roman" w:hAnsi="Times New Roman" w:eastAsia="仿宋_GB2312" w:cs="Times New Roman"/>
          <w:color w:val="000000"/>
          <w:kern w:val="0"/>
          <w:sz w:val="32"/>
          <w:szCs w:val="32"/>
          <w:lang w:val="en-US" w:eastAsia="zh-CN" w:bidi="ar-SA"/>
        </w:rPr>
        <w:t>、</w:t>
      </w:r>
      <w:r>
        <w:rPr>
          <w:rFonts w:hint="eastAsia" w:eastAsia="仿宋_GB2312" w:cs="Times New Roman"/>
          <w:color w:val="000000"/>
          <w:kern w:val="0"/>
          <w:sz w:val="32"/>
          <w:szCs w:val="32"/>
          <w:lang w:val="en-US" w:eastAsia="zh-CN" w:bidi="ar-SA"/>
        </w:rPr>
        <w:t>账</w:t>
      </w:r>
      <w:r>
        <w:rPr>
          <w:rFonts w:hint="eastAsia" w:ascii="Times New Roman" w:hAnsi="Times New Roman" w:eastAsia="仿宋_GB2312" w:cs="Times New Roman"/>
          <w:color w:val="000000"/>
          <w:kern w:val="0"/>
          <w:sz w:val="32"/>
          <w:szCs w:val="32"/>
          <w:lang w:val="en-US" w:eastAsia="zh-CN" w:bidi="ar-SA"/>
        </w:rPr>
        <w:t>实相符。为全镇经济和社会事业发展提供资金保障。</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（二）存在问题</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一是脱贫攻坚任务重，工作量大，对全镇经济和社会事业发展缺乏资金和技术扶持，二是农村基础设施建设仍然大力加强，三是在资金安排、使用、核算上存在不很合理现象，四是财务制度方面不够规范。</w:t>
      </w:r>
    </w:p>
    <w:p>
      <w:pPr>
        <w:widowControl/>
        <w:shd w:val="clear" w:color="auto" w:fill="FFFFFF"/>
        <w:spacing w:line="540" w:lineRule="atLeast"/>
        <w:ind w:firstLine="720"/>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（三）改进建议</w:t>
      </w:r>
    </w:p>
    <w:p>
      <w:pPr>
        <w:spacing w:line="580" w:lineRule="exact"/>
        <w:jc w:val="center"/>
        <w:rPr>
          <w:rFonts w:hint="eastAsia" w:ascii="Times New Roman" w:hAnsi="Times New Roman"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一是加强基层组织建设，打牢执政基础，二是规范财务报帐制度，完善报帐流程，三是提高工作效率，把有限的资金用在刀忍上，为全镇经济和社会事业发展更好地服好务。</w:t>
      </w:r>
    </w:p>
    <w:p>
      <w:pPr>
        <w:spacing w:line="580" w:lineRule="exact"/>
        <w:jc w:val="center"/>
        <w:rPr>
          <w:rFonts w:hint="eastAsia" w:ascii="Times New Roman" w:hAnsi="Times New Roman" w:eastAsia="仿宋_GB2312" w:cs="Times New Roman"/>
          <w:color w:val="000000"/>
          <w:kern w:val="0"/>
          <w:sz w:val="32"/>
          <w:szCs w:val="32"/>
          <w:lang w:val="en-US" w:eastAsia="zh-CN" w:bidi="ar-SA"/>
        </w:rPr>
      </w:pPr>
    </w:p>
    <w:p>
      <w:pPr>
        <w:spacing w:line="580" w:lineRule="exact"/>
        <w:jc w:val="center"/>
        <w:rPr>
          <w:rFonts w:hint="eastAsia" w:ascii="Times New Roman" w:hAnsi="Times New Roman" w:eastAsia="仿宋_GB2312" w:cs="Times New Roman"/>
          <w:color w:val="000000"/>
          <w:kern w:val="0"/>
          <w:sz w:val="32"/>
          <w:szCs w:val="32"/>
          <w:lang w:val="en-US" w:eastAsia="zh-CN" w:bidi="ar-SA"/>
        </w:rPr>
      </w:pPr>
    </w:p>
    <w:p>
      <w:pPr>
        <w:spacing w:line="580" w:lineRule="exact"/>
        <w:jc w:val="center"/>
        <w:rPr>
          <w:rFonts w:hint="eastAsia" w:ascii="Times New Roman" w:hAnsi="Times New Roman" w:eastAsia="仿宋_GB2312" w:cs="Times New Roman"/>
          <w:color w:val="000000"/>
          <w:kern w:val="0"/>
          <w:sz w:val="32"/>
          <w:szCs w:val="32"/>
          <w:lang w:val="en-US" w:eastAsia="zh-CN" w:bidi="ar-SA"/>
        </w:rPr>
      </w:pPr>
    </w:p>
    <w:p>
      <w:pPr>
        <w:pStyle w:val="3"/>
        <w:rPr>
          <w:rStyle w:val="15"/>
          <w:rFonts w:hint="eastAsia" w:ascii="仿宋" w:hAnsi="仿宋" w:eastAsia="仿宋"/>
          <w:b w:val="0"/>
          <w:bCs w:val="0"/>
          <w:sz w:val="32"/>
          <w:szCs w:val="32"/>
        </w:rPr>
      </w:pPr>
      <w:bookmarkStart w:id="53" w:name="_Toc15396617"/>
    </w:p>
    <w:p>
      <w:pPr>
        <w:pStyle w:val="3"/>
        <w:rPr>
          <w:rStyle w:val="15"/>
          <w:rFonts w:hint="eastAsia" w:ascii="仿宋" w:hAnsi="仿宋" w:eastAsia="仿宋"/>
          <w:b w:val="0"/>
          <w:bCs w:val="0"/>
          <w:sz w:val="32"/>
          <w:szCs w:val="32"/>
        </w:rPr>
      </w:pPr>
    </w:p>
    <w:p>
      <w:pPr>
        <w:rPr>
          <w:rStyle w:val="15"/>
          <w:rFonts w:hint="eastAsia" w:ascii="仿宋" w:hAnsi="仿宋" w:eastAsia="仿宋"/>
          <w:b w:val="0"/>
          <w:bCs w:val="0"/>
          <w:sz w:val="32"/>
          <w:szCs w:val="32"/>
        </w:rPr>
      </w:pPr>
    </w:p>
    <w:p>
      <w:pPr>
        <w:rPr>
          <w:rStyle w:val="15"/>
          <w:rFonts w:hint="eastAsia" w:ascii="仿宋" w:hAnsi="仿宋" w:eastAsia="仿宋"/>
          <w:b w:val="0"/>
          <w:bCs w:val="0"/>
          <w:sz w:val="32"/>
          <w:szCs w:val="32"/>
        </w:rPr>
      </w:pPr>
    </w:p>
    <w:p>
      <w:pPr>
        <w:pStyle w:val="3"/>
        <w:rPr>
          <w:rStyle w:val="15"/>
          <w:rFonts w:hint="eastAsia" w:ascii="仿宋" w:hAnsi="仿宋" w:eastAsia="仿宋"/>
          <w:b w:val="0"/>
          <w:bCs w:val="0"/>
          <w:sz w:val="32"/>
          <w:szCs w:val="32"/>
        </w:rPr>
      </w:pPr>
    </w:p>
    <w:p>
      <w:pPr>
        <w:pStyle w:val="3"/>
        <w:rPr>
          <w:rFonts w:hint="eastAsia" w:ascii="仿宋" w:hAnsi="仿宋" w:eastAsia="仿宋" w:cs="宋体"/>
          <w:color w:val="000000"/>
          <w:kern w:val="0"/>
          <w:sz w:val="32"/>
          <w:szCs w:val="32"/>
        </w:rPr>
      </w:pPr>
      <w:r>
        <w:rPr>
          <w:rStyle w:val="15"/>
          <w:rFonts w:hint="eastAsia" w:ascii="仿宋" w:hAnsi="仿宋" w:eastAsia="仿宋"/>
          <w:b w:val="0"/>
          <w:bCs w:val="0"/>
          <w:sz w:val="32"/>
          <w:szCs w:val="32"/>
        </w:rPr>
        <w:t>附件2</w:t>
      </w:r>
      <w:bookmarkEnd w:id="53"/>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元山镇</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w:t>
      </w:r>
      <w:r>
        <w:rPr>
          <w:rFonts w:ascii="仿宋" w:hAnsi="仿宋" w:eastAsia="仿宋" w:cs="仿宋_GB2312"/>
          <w:b/>
          <w:bCs/>
          <w:sz w:val="32"/>
          <w:szCs w:val="32"/>
        </w:rPr>
        <w:t>、评价工作开展及项目情况</w:t>
      </w:r>
    </w:p>
    <w:p>
      <w:pPr>
        <w:pStyle w:val="10"/>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农村危房改造是一项惠及千家万户的民生工程，农村危房改造中央和省级资金集中支持建档立卡贫困户、低保户、农村分散供养特困人员和贫困残疾人家庭等4类重点对象，市、县配套资金用于提高4类重点对象补助标准和适当支持其他贫困户实施农村危房改造，以及解决已脱贫住危房问题。</w:t>
      </w:r>
    </w:p>
    <w:p>
      <w:pPr>
        <w:spacing w:line="5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二</w:t>
      </w:r>
      <w:r>
        <w:rPr>
          <w:rFonts w:ascii="仿宋" w:hAnsi="仿宋" w:eastAsia="仿宋" w:cs="仿宋_GB2312"/>
          <w:b/>
          <w:bCs/>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10"/>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按照项目支出绩效自评指标，元山镇对2019年度实施农村危房改造工作在项目决策、项目管理、项目绩效三个方面进行了自评，并对二级指标、三级指标进行了具体细化、量逐项进行了自评打分98分。</w:t>
      </w:r>
    </w:p>
    <w:p>
      <w:pPr>
        <w:numPr>
          <w:ilvl w:val="0"/>
          <w:numId w:val="6"/>
        </w:numPr>
        <w:spacing w:line="580" w:lineRule="exact"/>
        <w:ind w:firstLine="640" w:firstLineChars="200"/>
        <w:rPr>
          <w:rFonts w:hint="eastAsia" w:ascii="仿宋" w:hAnsi="仿宋" w:eastAsia="仿宋" w:cs="仿宋"/>
          <w:kern w:val="0"/>
          <w:sz w:val="32"/>
          <w:szCs w:val="32"/>
          <w:lang w:val="en-US" w:eastAsia="zh-CN" w:bidi="ar"/>
        </w:rPr>
      </w:pPr>
      <w:r>
        <w:rPr>
          <w:rFonts w:ascii="仿宋" w:hAnsi="仿宋" w:eastAsia="仿宋" w:cs="仿宋_GB2312"/>
          <w:sz w:val="32"/>
          <w:szCs w:val="32"/>
        </w:rPr>
        <w:t>绩效分析</w:t>
      </w:r>
      <w:r>
        <w:rPr>
          <w:rFonts w:hint="eastAsia" w:ascii="仿宋" w:hAnsi="仿宋" w:eastAsia="仿宋" w:cs="仿宋"/>
          <w:kern w:val="0"/>
          <w:sz w:val="32"/>
          <w:szCs w:val="32"/>
          <w:lang w:val="en-US" w:eastAsia="zh-CN" w:bidi="ar"/>
        </w:rPr>
        <w:t>（具体见附表）</w:t>
      </w:r>
    </w:p>
    <w:tbl>
      <w:tblPr>
        <w:tblStyle w:val="11"/>
        <w:tblpPr w:leftFromText="180" w:rightFromText="180" w:vertAnchor="text" w:horzAnchor="page" w:tblpX="1184" w:tblpY="-3"/>
        <w:tblOverlap w:val="never"/>
        <w:tblW w:w="8685" w:type="dxa"/>
        <w:tblInd w:w="0" w:type="dxa"/>
        <w:tblLayout w:type="fixed"/>
        <w:tblCellMar>
          <w:top w:w="0" w:type="dxa"/>
          <w:left w:w="0" w:type="dxa"/>
          <w:bottom w:w="0" w:type="dxa"/>
          <w:right w:w="0" w:type="dxa"/>
        </w:tblCellMar>
      </w:tblPr>
      <w:tblGrid>
        <w:gridCol w:w="690"/>
        <w:gridCol w:w="1067"/>
        <w:gridCol w:w="1025"/>
        <w:gridCol w:w="1688"/>
        <w:gridCol w:w="2520"/>
        <w:gridCol w:w="1695"/>
      </w:tblGrid>
      <w:tr>
        <w:tblPrEx>
          <w:tblCellMar>
            <w:top w:w="0" w:type="dxa"/>
            <w:left w:w="0" w:type="dxa"/>
            <w:bottom w:w="0" w:type="dxa"/>
            <w:right w:w="0" w:type="dxa"/>
          </w:tblCellMar>
        </w:tblPrEx>
        <w:trPr>
          <w:trHeight w:val="1034" w:hRule="atLeast"/>
        </w:trPr>
        <w:tc>
          <w:tcPr>
            <w:tcW w:w="8685" w:type="dxa"/>
            <w:gridSpan w:val="6"/>
            <w:tcMar>
              <w:top w:w="15" w:type="dxa"/>
              <w:left w:w="15" w:type="dxa"/>
              <w:bottom w:w="0" w:type="dxa"/>
              <w:right w:w="15" w:type="dxa"/>
            </w:tcMar>
            <w:vAlign w:val="center"/>
          </w:tcPr>
          <w:p>
            <w:pPr>
              <w:pStyle w:val="17"/>
              <w:keepNext w:val="0"/>
              <w:keepLines w:val="0"/>
              <w:widowControl/>
              <w:suppressLineNumbers w:val="0"/>
              <w:spacing w:before="0" w:beforeAutospacing="0" w:after="0" w:afterAutospacing="0"/>
              <w:ind w:left="4173" w:leftChars="1310" w:right="0" w:hanging="1422" w:hangingChars="395"/>
              <w:textAlignment w:val="center"/>
              <w:rPr>
                <w:rFonts w:hint="default"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项目名称</w:t>
            </w:r>
          </w:p>
        </w:tc>
        <w:tc>
          <w:tcPr>
            <w:tcW w:w="59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农村危房改造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预算单位</w:t>
            </w:r>
          </w:p>
        </w:tc>
        <w:tc>
          <w:tcPr>
            <w:tcW w:w="59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元山镇人民政府</w:t>
            </w:r>
          </w:p>
        </w:tc>
      </w:tr>
      <w:tr>
        <w:tblPrEx>
          <w:tblCellMar>
            <w:top w:w="0" w:type="dxa"/>
            <w:left w:w="0" w:type="dxa"/>
            <w:bottom w:w="0" w:type="dxa"/>
            <w:right w:w="0" w:type="dxa"/>
          </w:tblCellMar>
        </w:tblPrEx>
        <w:trPr>
          <w:trHeight w:val="276"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预算执行情况(万元)</w:t>
            </w: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预算数:</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468.2万元</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执行数:</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468.2万元</w:t>
            </w:r>
          </w:p>
        </w:tc>
      </w:tr>
      <w:tr>
        <w:tblPrEx>
          <w:tblCellMar>
            <w:top w:w="0" w:type="dxa"/>
            <w:left w:w="0" w:type="dxa"/>
            <w:bottom w:w="0" w:type="dxa"/>
            <w:right w:w="0" w:type="dxa"/>
          </w:tblCellMar>
        </w:tblPrEx>
        <w:trPr>
          <w:trHeight w:val="276"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其中-财政拨款: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468.2万</w:t>
            </w:r>
          </w:p>
        </w:tc>
      </w:tr>
      <w:tr>
        <w:tblPrEx>
          <w:tblCellMar>
            <w:top w:w="0" w:type="dxa"/>
            <w:left w:w="0" w:type="dxa"/>
            <w:bottom w:w="0" w:type="dxa"/>
            <w:right w:w="0" w:type="dxa"/>
          </w:tblCellMar>
        </w:tblPrEx>
        <w:trPr>
          <w:trHeight w:val="1511"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20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0</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其它资金: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rPr>
            </w:pPr>
          </w:p>
        </w:tc>
      </w:tr>
      <w:tr>
        <w:tblPrEx>
          <w:tblCellMar>
            <w:top w:w="0" w:type="dxa"/>
            <w:left w:w="0" w:type="dxa"/>
            <w:bottom w:w="0" w:type="dxa"/>
            <w:right w:w="0" w:type="dxa"/>
          </w:tblCellMar>
        </w:tblPrEx>
        <w:trPr>
          <w:trHeight w:val="276"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年度目标完成情况</w:t>
            </w:r>
          </w:p>
        </w:tc>
        <w:tc>
          <w:tcPr>
            <w:tcW w:w="37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预期目标</w:t>
            </w:r>
          </w:p>
        </w:tc>
        <w:tc>
          <w:tcPr>
            <w:tcW w:w="42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579" w:hRule="atLeast"/>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37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改造农村土坯房</w:t>
            </w:r>
          </w:p>
        </w:tc>
        <w:tc>
          <w:tcPr>
            <w:tcW w:w="42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住房安全</w:t>
            </w:r>
          </w:p>
        </w:tc>
      </w:tr>
      <w:tr>
        <w:tblPrEx>
          <w:tblCellMar>
            <w:top w:w="0" w:type="dxa"/>
            <w:left w:w="0" w:type="dxa"/>
            <w:bottom w:w="0" w:type="dxa"/>
            <w:right w:w="0" w:type="dxa"/>
          </w:tblCellMar>
        </w:tblPrEx>
        <w:trPr>
          <w:trHeight w:val="1042" w:hRule="atLeast"/>
        </w:trPr>
        <w:tc>
          <w:tcPr>
            <w:tcW w:w="690" w:type="dxa"/>
            <w:vMerge w:val="restar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sz w:val="24"/>
              </w:rPr>
              <w:t>绩效指标完成情况</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二级指标</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三级指标</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预期指标值(包含数字及文字描述)</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lang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eastAsia="zh-CN"/>
              </w:rPr>
              <w:t>项目</w:t>
            </w:r>
            <w:r>
              <w:rPr>
                <w:rFonts w:hint="eastAsia" w:ascii="宋体" w:hAnsi="宋体" w:cs="宋体"/>
                <w:color w:val="000000"/>
                <w:kern w:val="0"/>
                <w:sz w:val="20"/>
                <w:szCs w:val="20"/>
              </w:rPr>
              <w:t>决策</w:t>
            </w:r>
          </w:p>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000000"/>
                <w:sz w:val="24"/>
                <w:lang w:eastAsia="zh-CN"/>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79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明确性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59"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合理性</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资金分配</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84" w:hRule="atLeast"/>
        </w:trPr>
        <w:tc>
          <w:tcPr>
            <w:tcW w:w="690"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资金使用</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w:t>
            </w:r>
          </w:p>
        </w:tc>
      </w:tr>
      <w:tr>
        <w:tblPrEx>
          <w:tblCellMar>
            <w:top w:w="0" w:type="dxa"/>
            <w:left w:w="0" w:type="dxa"/>
            <w:bottom w:w="0" w:type="dxa"/>
            <w:right w:w="0" w:type="dxa"/>
          </w:tblCellMar>
        </w:tblPrEx>
        <w:trPr>
          <w:trHeight w:val="849" w:hRule="atLeast"/>
        </w:trPr>
        <w:tc>
          <w:tcPr>
            <w:tcW w:w="690" w:type="dxa"/>
            <w:vMerge w:val="continue"/>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16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执行规范</w:t>
            </w:r>
          </w:p>
        </w:tc>
        <w:tc>
          <w:tcPr>
            <w:tcW w:w="252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c>
          <w:tcPr>
            <w:tcW w:w="169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restart"/>
            <w:tcBorders>
              <w:top w:val="single" w:color="auto" w:sz="4" w:space="0"/>
              <w:left w:val="single" w:color="auto" w:sz="4" w:space="0"/>
              <w:right w:val="single" w:color="auto"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102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完成数量</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kern w:val="0"/>
                <w:sz w:val="24"/>
                <w:lang w:bidi="ar"/>
              </w:rPr>
            </w:pPr>
          </w:p>
        </w:tc>
        <w:tc>
          <w:tcPr>
            <w:tcW w:w="102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完成质量</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完成时效</w:t>
            </w:r>
          </w:p>
        </w:tc>
        <w:tc>
          <w:tcPr>
            <w:tcW w:w="25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restar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完成成本</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经济效益（可选项）</w:t>
            </w:r>
          </w:p>
        </w:tc>
        <w:tc>
          <w:tcPr>
            <w:tcW w:w="25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40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社会效益（可选项）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生态效益（可选项）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可持续效益（可选项）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公平效率（可选项）</w:t>
            </w:r>
          </w:p>
        </w:tc>
        <w:tc>
          <w:tcPr>
            <w:tcW w:w="252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使用效率（可选项）</w:t>
            </w:r>
          </w:p>
        </w:tc>
        <w:tc>
          <w:tcPr>
            <w:tcW w:w="25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624" w:hRule="atLeast"/>
        </w:trPr>
        <w:tc>
          <w:tcPr>
            <w:tcW w:w="690"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vMerge w:val="continue"/>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ascii="宋体" w:hAnsi="宋体" w:eastAsia="宋体" w:cs="宋体"/>
                <w:color w:val="000000"/>
                <w:kern w:val="0"/>
                <w:sz w:val="20"/>
                <w:szCs w:val="20"/>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服务对象满意度    </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624" w:hRule="atLeast"/>
        </w:trPr>
        <w:tc>
          <w:tcPr>
            <w:tcW w:w="6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hint="default" w:ascii="宋体" w:hAnsi="宋体" w:cs="宋体"/>
                <w:color w:val="000000"/>
                <w:sz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总分</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98</w:t>
            </w:r>
          </w:p>
        </w:tc>
        <w:tc>
          <w:tcPr>
            <w:tcW w:w="168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w:t>
            </w:r>
          </w:p>
        </w:tc>
      </w:tr>
    </w:tbl>
    <w:tbl>
      <w:tblPr>
        <w:tblStyle w:val="11"/>
        <w:tblW w:w="8343" w:type="dxa"/>
        <w:tblInd w:w="-176" w:type="dxa"/>
        <w:tblLayout w:type="fixed"/>
        <w:tblCellMar>
          <w:top w:w="0" w:type="dxa"/>
          <w:left w:w="108" w:type="dxa"/>
          <w:bottom w:w="0" w:type="dxa"/>
          <w:right w:w="108" w:type="dxa"/>
        </w:tblCellMar>
      </w:tblPr>
      <w:tblGrid>
        <w:gridCol w:w="1702"/>
        <w:gridCol w:w="2268"/>
        <w:gridCol w:w="3402"/>
        <w:gridCol w:w="971"/>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971"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相关性（5分）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明确性（5分）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合理性（5分）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测算依据（5分）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目标管理（5分）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决算公开（2分）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部门特性指标</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人才培养（5分）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9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4</w:t>
            </w:r>
          </w:p>
        </w:tc>
      </w:tr>
    </w:tbl>
    <w:p>
      <w:pPr>
        <w:spacing w:line="600" w:lineRule="exact"/>
        <w:jc w:val="left"/>
        <w:outlineLvl w:val="0"/>
        <w:rPr>
          <w:rFonts w:ascii="方正小标宋简体" w:hAnsi="方正小标宋简体" w:eastAsia="方正小标宋简体" w:cs="方正小标宋简体"/>
          <w:sz w:val="32"/>
          <w:szCs w:val="32"/>
        </w:rPr>
      </w:pP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16"/>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16"/>
          <w:rFonts w:hint="eastAsia" w:ascii="仿宋" w:hAnsi="仿宋" w:eastAsia="仿宋"/>
          <w:b w:val="0"/>
          <w:bCs w:val="0"/>
        </w:rPr>
        <w:t>入决算表</w:t>
      </w:r>
    </w:p>
    <w:p>
      <w:pPr>
        <w:pStyle w:val="3"/>
        <w:rPr>
          <w:rFonts w:ascii="仿宋" w:hAnsi="仿宋" w:eastAsia="仿宋"/>
          <w:color w:val="000000"/>
        </w:rPr>
      </w:pPr>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出决算表</w:t>
      </w:r>
    </w:p>
    <w:p>
      <w:pPr>
        <w:pStyle w:val="3"/>
        <w:rPr>
          <w:rFonts w:ascii="仿宋" w:hAnsi="仿宋" w:eastAsia="仿宋"/>
          <w:b w:val="0"/>
          <w:color w:val="000000"/>
        </w:rPr>
      </w:pPr>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p>
    <w:p>
      <w:pPr>
        <w:pStyle w:val="3"/>
        <w:rPr>
          <w:rStyle w:val="16"/>
          <w:rFonts w:ascii="仿宋" w:hAnsi="仿宋" w:eastAsia="仿宋"/>
          <w:b w:val="0"/>
          <w:bCs w:val="0"/>
        </w:rPr>
      </w:pPr>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w:t>
      </w:r>
    </w:p>
    <w:p>
      <w:pPr>
        <w:pStyle w:val="3"/>
        <w:rPr>
          <w:rFonts w:ascii="仿宋" w:hAnsi="仿宋" w:eastAsia="仿宋"/>
          <w:color w:val="000000"/>
        </w:rPr>
      </w:pPr>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p>
    <w:p>
      <w:pPr>
        <w:pStyle w:val="3"/>
        <w:rPr>
          <w:rFonts w:ascii="仿宋" w:hAnsi="仿宋" w:eastAsia="仿宋"/>
          <w:color w:val="000000"/>
        </w:rPr>
      </w:pPr>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p>
    <w:p>
      <w:pPr>
        <w:pStyle w:val="3"/>
        <w:rPr>
          <w:rFonts w:ascii="仿宋" w:hAnsi="仿宋" w:eastAsia="仿宋"/>
          <w:color w:val="000000"/>
        </w:rPr>
      </w:pPr>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p>
    <w:p>
      <w:pPr>
        <w:pStyle w:val="3"/>
        <w:rPr>
          <w:rFonts w:ascii="仿宋" w:hAnsi="仿宋" w:eastAsia="仿宋"/>
          <w:color w:val="000000"/>
        </w:rPr>
      </w:pPr>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p>
    <w:p>
      <w:pPr>
        <w:pStyle w:val="3"/>
        <w:rPr>
          <w:rFonts w:ascii="仿宋" w:hAnsi="仿宋" w:eastAsia="仿宋"/>
          <w:color w:val="000000"/>
        </w:rPr>
      </w:pPr>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p>
    <w:p>
      <w:pPr>
        <w:pStyle w:val="3"/>
        <w:rPr>
          <w:rFonts w:ascii="仿宋" w:hAnsi="仿宋" w:eastAsia="仿宋"/>
          <w:color w:val="000000"/>
        </w:rPr>
      </w:pPr>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p>
    <w:p>
      <w:pPr>
        <w:rPr>
          <w:rStyle w:val="16"/>
          <w:rFonts w:hint="default" w:eastAsia="仿宋" w:cs="Times New Roman"/>
          <w:b w:val="0"/>
          <w:bCs w:val="0"/>
          <w:lang w:val="en-US" w:eastAsia="zh-CN"/>
        </w:rPr>
      </w:pPr>
    </w:p>
    <w:bookmarkEnd w:id="50"/>
    <w:bookmarkEnd w:id="5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6"/>
          <w:jc w:val="center"/>
        </w:pPr>
        <w:r>
          <w:fldChar w:fldCharType="begin"/>
        </w:r>
        <w:r>
          <w:instrText xml:space="preserve">PAGE   \* MERGEFORMAT</w:instrText>
        </w:r>
        <w:r>
          <w:fldChar w:fldCharType="separate"/>
        </w:r>
        <w:r>
          <w:rPr>
            <w:lang w:val="zh-CN"/>
          </w:rPr>
          <w:t>20</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804C3"/>
    <w:multiLevelType w:val="singleLevel"/>
    <w:tmpl w:val="A41804C3"/>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167658B"/>
    <w:multiLevelType w:val="singleLevel"/>
    <w:tmpl w:val="2167658B"/>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21653"/>
    <w:rsid w:val="03920BC6"/>
    <w:rsid w:val="04793BFD"/>
    <w:rsid w:val="050C04A5"/>
    <w:rsid w:val="06557BB3"/>
    <w:rsid w:val="0754426F"/>
    <w:rsid w:val="07D62A11"/>
    <w:rsid w:val="09296CAA"/>
    <w:rsid w:val="099561ED"/>
    <w:rsid w:val="0CF22D84"/>
    <w:rsid w:val="0D7458C5"/>
    <w:rsid w:val="0F601F2B"/>
    <w:rsid w:val="0F7968FE"/>
    <w:rsid w:val="10D002AA"/>
    <w:rsid w:val="1117307E"/>
    <w:rsid w:val="11CA3E39"/>
    <w:rsid w:val="12221552"/>
    <w:rsid w:val="156A380F"/>
    <w:rsid w:val="1895322D"/>
    <w:rsid w:val="18CC15C4"/>
    <w:rsid w:val="19D80BB5"/>
    <w:rsid w:val="1A7C47E0"/>
    <w:rsid w:val="1D8C15C9"/>
    <w:rsid w:val="1F9875E5"/>
    <w:rsid w:val="1FFA6109"/>
    <w:rsid w:val="203645ED"/>
    <w:rsid w:val="21CD4C06"/>
    <w:rsid w:val="222018D5"/>
    <w:rsid w:val="242C7C58"/>
    <w:rsid w:val="2CF54C03"/>
    <w:rsid w:val="2D753E2F"/>
    <w:rsid w:val="2E0077AA"/>
    <w:rsid w:val="2FAD0E9B"/>
    <w:rsid w:val="315E0683"/>
    <w:rsid w:val="35825851"/>
    <w:rsid w:val="3A6D6B92"/>
    <w:rsid w:val="3B20685C"/>
    <w:rsid w:val="3D0F5AD7"/>
    <w:rsid w:val="462A326B"/>
    <w:rsid w:val="49E44640"/>
    <w:rsid w:val="4A3210B4"/>
    <w:rsid w:val="4B5F5440"/>
    <w:rsid w:val="4C0901DC"/>
    <w:rsid w:val="4E4C3A13"/>
    <w:rsid w:val="526B2EAB"/>
    <w:rsid w:val="54611A2B"/>
    <w:rsid w:val="57F93A09"/>
    <w:rsid w:val="597E6DEB"/>
    <w:rsid w:val="60154498"/>
    <w:rsid w:val="64617F3A"/>
    <w:rsid w:val="648C25CA"/>
    <w:rsid w:val="694E6F26"/>
    <w:rsid w:val="6C0412A4"/>
    <w:rsid w:val="6E1D3F0C"/>
    <w:rsid w:val="6F292512"/>
    <w:rsid w:val="6F385D19"/>
    <w:rsid w:val="701C10C7"/>
    <w:rsid w:val="736C17AD"/>
    <w:rsid w:val="74B65FFA"/>
    <w:rsid w:val="752C3C7B"/>
    <w:rsid w:val="76C26FCA"/>
    <w:rsid w:val="777C4178"/>
    <w:rsid w:val="78235E29"/>
    <w:rsid w:val="7A797DE4"/>
    <w:rsid w:val="7C921653"/>
    <w:rsid w:val="7E5507AA"/>
    <w:rsid w:val="7E9B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semiHidden/>
    <w:unhideWhenUsed/>
    <w:qFormat/>
    <w:uiPriority w:val="99"/>
    <w:rPr>
      <w:sz w:val="24"/>
    </w:rPr>
  </w:style>
  <w:style w:type="character" w:styleId="13">
    <w:name w:val="Strong"/>
    <w:basedOn w:val="12"/>
    <w:qFormat/>
    <w:uiPriority w:val="99"/>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标题 1 Char"/>
    <w:basedOn w:val="12"/>
    <w:link w:val="2"/>
    <w:qFormat/>
    <w:uiPriority w:val="9"/>
    <w:rPr>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2020-10-27T02:29:00Z</dcterms:created>
  <dc:creator>联想</dc:creator>
  <cp:lastModifiedBy>明风之风</cp:lastModifiedBy>
  <cp:lastPrinted>2020-10-28T07:56:00Z</cp:lastPrinted>
  <dcterms:modified xsi:type="dcterms:W3CDTF">2022-03-16T07:02:12Z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D536DA3A47614D29AC2569F59FCE37E1</vt:lpwstr>
  </property>
</Properties>
</file>